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宋体"/>
          <w:color w:val="000000" w:themeColor="text1"/>
          <w:kern w:val="0"/>
          <w:sz w:val="32"/>
          <w:szCs w:val="32"/>
          <w14:textFill>
            <w14:solidFill>
              <w14:schemeClr w14:val="tx1"/>
            </w14:solidFill>
          </w14:textFill>
        </w:rPr>
        <w:sectPr>
          <w:footerReference r:id="rId3" w:type="default"/>
          <w:pgSz w:w="11906" w:h="16838"/>
          <w:pgMar w:top="1474" w:right="1588" w:bottom="1701" w:left="1588" w:header="0" w:footer="907" w:gutter="0"/>
          <w:pgNumType w:start="8"/>
          <w:cols w:space="0" w:num="1"/>
          <w:docGrid w:linePitch="312" w:charSpace="0"/>
        </w:sectPr>
      </w:pPr>
    </w:p>
    <w:p>
      <w:pPr>
        <w:rPr>
          <w:rFonts w:ascii="仿宋_GB2312" w:hAnsi="宋体" w:eastAsia="仿宋_GB2312"/>
          <w:color w:val="000000" w:themeColor="text1"/>
          <w:sz w:val="32"/>
          <w:szCs w:val="32"/>
          <w14:textFill>
            <w14:solidFill>
              <w14:schemeClr w14:val="tx1"/>
            </w14:solidFill>
          </w14:textFill>
        </w:rPr>
      </w:pPr>
      <w:r>
        <w:rPr>
          <w:rFonts w:hint="eastAsia" w:ascii="黑体" w:hAnsi="黑体" w:eastAsia="黑体" w:cs="宋体"/>
          <w:color w:val="000000" w:themeColor="text1"/>
          <w:kern w:val="0"/>
          <w:sz w:val="32"/>
          <w:szCs w:val="32"/>
          <w14:textFill>
            <w14:solidFill>
              <w14:schemeClr w14:val="tx1"/>
            </w14:solidFill>
          </w14:textFill>
        </w:rPr>
        <w:t>附件</w:t>
      </w:r>
    </w:p>
    <w:p>
      <w:pPr>
        <w:spacing w:line="560" w:lineRule="exact"/>
        <w:jc w:val="center"/>
        <w:rPr>
          <w:rFonts w:ascii="华文中宋" w:hAnsi="华文中宋" w:eastAsia="华文中宋" w:cs="宋体"/>
          <w:color w:val="000000" w:themeColor="text1"/>
          <w:kern w:val="0"/>
          <w:sz w:val="44"/>
          <w:szCs w:val="44"/>
          <w14:textFill>
            <w14:solidFill>
              <w14:schemeClr w14:val="tx1"/>
            </w14:solidFill>
          </w14:textFill>
        </w:rPr>
      </w:pPr>
      <w:r>
        <w:rPr>
          <w:rFonts w:hint="eastAsia" w:ascii="华文中宋" w:hAnsi="华文中宋" w:eastAsia="华文中宋" w:cs="宋体"/>
          <w:color w:val="000000" w:themeColor="text1"/>
          <w:kern w:val="0"/>
          <w:sz w:val="44"/>
          <w:szCs w:val="44"/>
          <w14:textFill>
            <w14:solidFill>
              <w14:schemeClr w14:val="tx1"/>
            </w14:solidFill>
          </w14:textFill>
        </w:rPr>
        <w:t>危险化学品企业生产安全事故应急准备工作表</w:t>
      </w:r>
    </w:p>
    <w:p>
      <w:pPr>
        <w:widowControl/>
        <w:spacing w:line="560" w:lineRule="exact"/>
        <w:jc w:val="left"/>
        <w:rPr>
          <w:rFonts w:ascii="楷体_GB2312" w:hAnsi="宋体" w:eastAsia="楷体_GB2312" w:cs="宋体"/>
          <w:b/>
          <w:color w:val="000000" w:themeColor="text1"/>
          <w:kern w:val="0"/>
          <w:szCs w:val="21"/>
          <w14:textFill>
            <w14:solidFill>
              <w14:schemeClr w14:val="tx1"/>
            </w14:solidFill>
          </w14:textFill>
        </w:rPr>
      </w:pPr>
      <w:r>
        <w:rPr>
          <w:rFonts w:hint="eastAsia" w:ascii="楷体_GB2312" w:hAnsi="宋体" w:eastAsia="楷体_GB2312" w:cs="宋体"/>
          <w:b/>
          <w:color w:val="000000" w:themeColor="text1"/>
          <w:kern w:val="0"/>
          <w:szCs w:val="21"/>
          <w14:textFill>
            <w14:solidFill>
              <w14:schemeClr w14:val="tx1"/>
            </w14:solidFill>
          </w14:textFill>
        </w:rPr>
        <w:t>要素1：思想理念</w:t>
      </w:r>
      <w:bookmarkStart w:id="0" w:name="_GoBack"/>
      <w:bookmarkEnd w:id="0"/>
    </w:p>
    <w:tbl>
      <w:tblPr>
        <w:tblStyle w:val="11"/>
        <w:tblW w:w="13879" w:type="dxa"/>
        <w:tblInd w:w="0" w:type="dxa"/>
        <w:tblLayout w:type="fixed"/>
        <w:tblCellMar>
          <w:top w:w="0" w:type="dxa"/>
          <w:left w:w="108" w:type="dxa"/>
          <w:bottom w:w="0" w:type="dxa"/>
          <w:right w:w="108" w:type="dxa"/>
        </w:tblCellMar>
      </w:tblPr>
      <w:tblGrid>
        <w:gridCol w:w="666"/>
        <w:gridCol w:w="1199"/>
        <w:gridCol w:w="4444"/>
        <w:gridCol w:w="7570"/>
      </w:tblGrid>
      <w:tr>
        <w:tblPrEx>
          <w:tblCellMar>
            <w:top w:w="0" w:type="dxa"/>
            <w:left w:w="108" w:type="dxa"/>
            <w:bottom w:w="0" w:type="dxa"/>
            <w:right w:w="108" w:type="dxa"/>
          </w:tblCellMar>
        </w:tblPrEx>
        <w:trPr>
          <w:trHeight w:val="394" w:hRule="atLeast"/>
        </w:trPr>
        <w:tc>
          <w:tcPr>
            <w:tcW w:w="6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序号</w:t>
            </w:r>
          </w:p>
        </w:tc>
        <w:tc>
          <w:tcPr>
            <w:tcW w:w="119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项目</w:t>
            </w:r>
          </w:p>
        </w:tc>
        <w:tc>
          <w:tcPr>
            <w:tcW w:w="444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内容</w:t>
            </w:r>
          </w:p>
        </w:tc>
        <w:tc>
          <w:tcPr>
            <w:tcW w:w="757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依据</w:t>
            </w:r>
          </w:p>
        </w:tc>
      </w:tr>
      <w:tr>
        <w:tblPrEx>
          <w:tblCellMar>
            <w:top w:w="0" w:type="dxa"/>
            <w:left w:w="108" w:type="dxa"/>
            <w:bottom w:w="0" w:type="dxa"/>
            <w:right w:w="108" w:type="dxa"/>
          </w:tblCellMar>
        </w:tblPrEx>
        <w:trPr>
          <w:trHeight w:val="3540" w:hRule="atLeast"/>
        </w:trPr>
        <w:tc>
          <w:tcPr>
            <w:tcW w:w="6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w:t>
            </w:r>
          </w:p>
        </w:tc>
        <w:tc>
          <w:tcPr>
            <w:tcW w:w="1199"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安全发展红线意识</w:t>
            </w:r>
          </w:p>
        </w:tc>
        <w:tc>
          <w:tcPr>
            <w:tcW w:w="4444"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1.树立安全发展理念，弘扬生命至上、安全第一的思想，倡导生命至上、科学救援的应急救援理念，发展决不能以牺牲安全为代价;</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2.摆正应急管理与安全生产的关系，应急管理是安全生产的最后一道防线，应充分发挥预防、减少和消除事故等多种功能；</w:t>
            </w:r>
            <w:r>
              <w:rPr>
                <w:rFonts w:ascii="楷体_GB2312" w:hAnsi="宋体" w:eastAsia="楷体_GB2312" w:cs="宋体"/>
                <w:color w:val="000000" w:themeColor="text1"/>
                <w:kern w:val="0"/>
                <w:szCs w:val="21"/>
                <w14:textFill>
                  <w14:solidFill>
                    <w14:schemeClr w14:val="tx1"/>
                  </w14:solidFill>
                </w14:textFill>
              </w:rPr>
              <w:t xml:space="preserve"> </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3.坚持“救早救小”原则，提高第一时间响应效率；</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4.明确“救人”为应急救援的首要任务，在救援过程中，确保救援人员安全，遇到突发情况危及救援人员生命安全时，迅速撤出救援人员。</w:t>
            </w:r>
          </w:p>
        </w:tc>
        <w:tc>
          <w:tcPr>
            <w:tcW w:w="7570"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1.习近平总书记对全国安全生产监管监察系统先进集体和先进工作者表彰大会（2016年10月31日）作出的指示。</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2.党的十九大报告有关要求。</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3.《中共中央 国务院关于推进安全生产领域改革发展的意见》有关要求。</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4.《国务院安委会关于进一步加强生产安全事故应急处置工作的通知》（安委〔2013〕8号）三、进一步规范事故现场应急处置（四）确保安全有效施救。</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5.《中华人民共和国安全生产法》第三条。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6.《危险化学品事故应急救援指挥导则》（AQ/T 3052-2015）5.3.1.3。</w:t>
            </w:r>
          </w:p>
        </w:tc>
      </w:tr>
      <w:tr>
        <w:tblPrEx>
          <w:tblCellMar>
            <w:top w:w="0" w:type="dxa"/>
            <w:left w:w="108" w:type="dxa"/>
            <w:bottom w:w="0" w:type="dxa"/>
            <w:right w:w="108" w:type="dxa"/>
          </w:tblCellMar>
        </w:tblPrEx>
        <w:trPr>
          <w:trHeight w:val="2725" w:hRule="atLeast"/>
        </w:trPr>
        <w:tc>
          <w:tcPr>
            <w:tcW w:w="66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w:t>
            </w:r>
          </w:p>
        </w:tc>
        <w:tc>
          <w:tcPr>
            <w:tcW w:w="1199"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风险防控底线思维</w:t>
            </w:r>
          </w:p>
        </w:tc>
        <w:tc>
          <w:tcPr>
            <w:tcW w:w="4444"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1.坚持底线思维，制订有效的防控措施,化解重大安全风险，遏制重特大事故发生;</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2.科学设定安全生产应急工作指标。</w:t>
            </w:r>
          </w:p>
        </w:tc>
        <w:tc>
          <w:tcPr>
            <w:tcW w:w="7570"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1.党的十九大报告有关要求。</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2.《中共中央 国务院关于推进安全生产领域改革发展的意见》</w:t>
            </w:r>
            <w:r>
              <w:rPr>
                <w:rFonts w:ascii="楷体_GB2312" w:hAnsi="宋体" w:eastAsia="楷体_GB2312" w:cs="宋体"/>
                <w:color w:val="000000" w:themeColor="text1"/>
                <w:kern w:val="0"/>
                <w:szCs w:val="21"/>
                <w14:textFill>
                  <w14:solidFill>
                    <w14:schemeClr w14:val="tx1"/>
                  </w14:solidFill>
                </w14:textFill>
              </w:rPr>
              <w:t>(七)健全责任考核机制。</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3.《中华人民共和国安全生产法》第三条。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4.《中华人民共和国突发事件应对法》第五条。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5.《危险化学品安全管理条例》第四条。</w:t>
            </w:r>
          </w:p>
        </w:tc>
      </w:tr>
    </w:tbl>
    <w:p>
      <w:pPr>
        <w:widowControl/>
        <w:jc w:val="left"/>
        <w:rPr>
          <w:rFonts w:ascii="仿宋_GB2312" w:hAnsi="宋体" w:eastAsia="仿宋_GB2312"/>
          <w:color w:val="000000" w:themeColor="text1"/>
          <w:sz w:val="32"/>
          <w:szCs w:val="32"/>
          <w14:textFill>
            <w14:solidFill>
              <w14:schemeClr w14:val="tx1"/>
            </w14:solidFill>
          </w14:textFill>
        </w:rPr>
      </w:pPr>
      <w:r>
        <w:rPr>
          <w:rFonts w:ascii="仿宋_GB2312" w:hAnsi="宋体" w:eastAsia="仿宋_GB2312"/>
          <w:color w:val="000000" w:themeColor="text1"/>
          <w:sz w:val="32"/>
          <w:szCs w:val="32"/>
          <w14:textFill>
            <w14:solidFill>
              <w14:schemeClr w14:val="tx1"/>
            </w14:solidFill>
          </w14:textFill>
        </w:rPr>
        <w:br w:type="page"/>
      </w:r>
    </w:p>
    <w:p>
      <w:pPr>
        <w:widowControl/>
        <w:jc w:val="left"/>
        <w:rPr>
          <w:rFonts w:ascii="仿宋_GB2312" w:hAnsi="宋体" w:eastAsia="仿宋_GB2312"/>
          <w:color w:val="000000" w:themeColor="text1"/>
          <w:sz w:val="32"/>
          <w:szCs w:val="32"/>
          <w14:textFill>
            <w14:solidFill>
              <w14:schemeClr w14:val="tx1"/>
            </w14:solidFill>
          </w14:textFill>
        </w:rPr>
      </w:pPr>
      <w:r>
        <w:rPr>
          <w:rFonts w:hint="eastAsia" w:ascii="楷体_GB2312" w:hAnsi="宋体" w:eastAsia="楷体_GB2312" w:cs="宋体"/>
          <w:b/>
          <w:color w:val="000000" w:themeColor="text1"/>
          <w:kern w:val="0"/>
          <w:szCs w:val="21"/>
          <w14:textFill>
            <w14:solidFill>
              <w14:schemeClr w14:val="tx1"/>
            </w14:solidFill>
          </w14:textFill>
        </w:rPr>
        <w:t>要素1：思想理念 （续）</w:t>
      </w:r>
    </w:p>
    <w:tbl>
      <w:tblPr>
        <w:tblStyle w:val="11"/>
        <w:tblW w:w="14034" w:type="dxa"/>
        <w:tblInd w:w="-318" w:type="dxa"/>
        <w:tblLayout w:type="fixed"/>
        <w:tblCellMar>
          <w:top w:w="0" w:type="dxa"/>
          <w:left w:w="108" w:type="dxa"/>
          <w:bottom w:w="0" w:type="dxa"/>
          <w:right w:w="108" w:type="dxa"/>
        </w:tblCellMar>
      </w:tblPr>
      <w:tblGrid>
        <w:gridCol w:w="710"/>
        <w:gridCol w:w="1134"/>
        <w:gridCol w:w="4536"/>
        <w:gridCol w:w="7654"/>
      </w:tblGrid>
      <w:tr>
        <w:tblPrEx>
          <w:tblCellMar>
            <w:top w:w="0" w:type="dxa"/>
            <w:left w:w="108" w:type="dxa"/>
            <w:bottom w:w="0" w:type="dxa"/>
            <w:right w:w="108" w:type="dxa"/>
          </w:tblCellMar>
        </w:tblPrEx>
        <w:trPr>
          <w:trHeight w:val="394"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序号</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项目</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内容</w:t>
            </w:r>
          </w:p>
        </w:tc>
        <w:tc>
          <w:tcPr>
            <w:tcW w:w="76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依据</w:t>
            </w:r>
          </w:p>
        </w:tc>
      </w:tr>
      <w:tr>
        <w:tblPrEx>
          <w:tblCellMar>
            <w:top w:w="0" w:type="dxa"/>
            <w:left w:w="108" w:type="dxa"/>
            <w:bottom w:w="0" w:type="dxa"/>
            <w:right w:w="108" w:type="dxa"/>
          </w:tblCellMar>
        </w:tblPrEx>
        <w:trPr>
          <w:trHeight w:val="1987" w:hRule="atLeast"/>
        </w:trPr>
        <w:tc>
          <w:tcPr>
            <w:tcW w:w="7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w:t>
            </w:r>
          </w:p>
        </w:tc>
        <w:tc>
          <w:tcPr>
            <w:tcW w:w="1134"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应急管理法治化</w:t>
            </w:r>
          </w:p>
        </w:tc>
        <w:tc>
          <w:tcPr>
            <w:tcW w:w="4536"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1.依法依规建立健全各项应急管理制度；</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2.依法依规开展各项应急工作。</w:t>
            </w:r>
          </w:p>
        </w:tc>
        <w:tc>
          <w:tcPr>
            <w:tcW w:w="7654"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1.《中华人民共和国安全生产法》第十条。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2.《危险化学品安全管理条例》第四条。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3.《生产安全事故应急条例》第四条。</w:t>
            </w:r>
          </w:p>
        </w:tc>
      </w:tr>
      <w:tr>
        <w:tblPrEx>
          <w:tblCellMar>
            <w:top w:w="0" w:type="dxa"/>
            <w:left w:w="108" w:type="dxa"/>
            <w:bottom w:w="0" w:type="dxa"/>
            <w:right w:w="108" w:type="dxa"/>
          </w:tblCellMar>
        </w:tblPrEx>
        <w:trPr>
          <w:trHeight w:val="4967"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4</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生命至上科学救援</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1.深入开展风险评估，通过风险辨识、分析、评价，掌握事故的性质、特点和可能造成的危害；</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ascii="楷体_GB2312" w:hAnsi="宋体" w:eastAsia="楷体_GB2312" w:cs="宋体"/>
                <w:color w:val="000000" w:themeColor="text1"/>
                <w:kern w:val="0"/>
                <w:szCs w:val="21"/>
                <w14:textFill>
                  <w14:solidFill>
                    <w14:schemeClr w14:val="tx1"/>
                  </w14:solidFill>
                </w14:textFill>
              </w:rPr>
              <w:t>2</w:t>
            </w:r>
            <w:r>
              <w:rPr>
                <w:rFonts w:hint="eastAsia" w:ascii="楷体_GB2312" w:hAnsi="宋体" w:eastAsia="楷体_GB2312" w:cs="宋体"/>
                <w:color w:val="000000" w:themeColor="text1"/>
                <w:kern w:val="0"/>
                <w:szCs w:val="21"/>
                <w14:textFill>
                  <w14:solidFill>
                    <w14:schemeClr w14:val="tx1"/>
                  </w14:solidFill>
                </w14:textFill>
              </w:rPr>
              <w:t>.</w:t>
            </w:r>
            <w:r>
              <w:rPr>
                <w:rFonts w:ascii="楷体_GB2312" w:hAnsi="宋体" w:eastAsia="楷体_GB2312" w:cs="宋体"/>
                <w:color w:val="000000" w:themeColor="text1"/>
                <w:kern w:val="0"/>
                <w:szCs w:val="21"/>
                <w14:textFill>
                  <w14:solidFill>
                    <w14:schemeClr w14:val="tx1"/>
                  </w14:solidFill>
                </w14:textFill>
              </w:rPr>
              <w:t>强化事故现场处置，赋予生产现场带班人员、班组长和调度人员直接决策权和指挥权，使其在遇到险情或事故征兆时能立即下达停产撤人命令，组织涉险区域人员及时、有序撤离到安全地点，减少事故造成的人员伤亡</w:t>
            </w:r>
            <w:r>
              <w:rPr>
                <w:rFonts w:hint="eastAsia" w:ascii="楷体_GB2312" w:hAnsi="宋体" w:eastAsia="楷体_GB2312" w:cs="宋体"/>
                <w:color w:val="000000" w:themeColor="text1"/>
                <w:kern w:val="0"/>
                <w:szCs w:val="21"/>
                <w14:textFill>
                  <w14:solidFill>
                    <w14:schemeClr w14:val="tx1"/>
                  </w14:solidFill>
                </w14:textFill>
              </w:rPr>
              <w:t>；</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ascii="楷体_GB2312" w:hAnsi="宋体" w:eastAsia="楷体_GB2312" w:cs="宋体"/>
                <w:color w:val="000000" w:themeColor="text1"/>
                <w:kern w:val="0"/>
                <w:szCs w:val="21"/>
                <w14:textFill>
                  <w14:solidFill>
                    <w14:schemeClr w14:val="tx1"/>
                  </w14:solidFill>
                </w14:textFill>
              </w:rPr>
              <w:t>3</w:t>
            </w:r>
            <w:r>
              <w:rPr>
                <w:rFonts w:hint="eastAsia" w:ascii="楷体_GB2312" w:hAnsi="宋体" w:eastAsia="楷体_GB2312" w:cs="宋体"/>
                <w:color w:val="000000" w:themeColor="text1"/>
                <w:kern w:val="0"/>
                <w:szCs w:val="21"/>
                <w14:textFill>
                  <w14:solidFill>
                    <w14:schemeClr w14:val="tx1"/>
                  </w14:solidFill>
                </w14:textFill>
              </w:rPr>
              <w:t>.在行动前要了解有关危险因素，明确防范措施，科学组织救援，积极搜救遇险人员。遇到突发情况危及救援人员生命安全时，救援队伍指挥员有权作出处置决定，迅速带领救援人员撤出危险区域，并及时报告指挥部；</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ascii="楷体_GB2312" w:hAnsi="宋体" w:eastAsia="楷体_GB2312" w:cs="宋体"/>
                <w:color w:val="000000" w:themeColor="text1"/>
                <w:kern w:val="0"/>
                <w:szCs w:val="21"/>
                <w14:textFill>
                  <w14:solidFill>
                    <w14:schemeClr w14:val="tx1"/>
                  </w14:solidFill>
                </w14:textFill>
              </w:rPr>
              <w:t>4</w:t>
            </w:r>
            <w:r>
              <w:rPr>
                <w:rFonts w:hint="eastAsia" w:ascii="楷体_GB2312" w:hAnsi="宋体" w:eastAsia="楷体_GB2312" w:cs="宋体"/>
                <w:color w:val="000000" w:themeColor="text1"/>
                <w:kern w:val="0"/>
                <w:szCs w:val="21"/>
                <w14:textFill>
                  <w14:solidFill>
                    <w14:schemeClr w14:val="tx1"/>
                  </w14:solidFill>
                </w14:textFill>
              </w:rPr>
              <w:t>.各种预案具有科学性、针对性和可操作性；</w:t>
            </w:r>
          </w:p>
          <w:p>
            <w:pPr>
              <w:jc w:val="left"/>
              <w:rPr>
                <w:rFonts w:ascii="楷体_GB2312" w:hAnsi="宋体" w:eastAsia="楷体_GB2312" w:cs="宋体"/>
                <w:color w:val="000000" w:themeColor="text1"/>
                <w:kern w:val="0"/>
                <w:szCs w:val="21"/>
                <w14:textFill>
                  <w14:solidFill>
                    <w14:schemeClr w14:val="tx1"/>
                  </w14:solidFill>
                </w14:textFill>
              </w:rPr>
            </w:pPr>
            <w:r>
              <w:rPr>
                <w:rFonts w:ascii="楷体_GB2312" w:hAnsi="宋体" w:eastAsia="楷体_GB2312" w:cs="宋体"/>
                <w:color w:val="000000" w:themeColor="text1"/>
                <w:kern w:val="0"/>
                <w:szCs w:val="21"/>
                <w14:textFill>
                  <w14:solidFill>
                    <w14:schemeClr w14:val="tx1"/>
                  </w14:solidFill>
                </w14:textFill>
              </w:rPr>
              <w:t>5</w:t>
            </w:r>
            <w:r>
              <w:rPr>
                <w:rFonts w:hint="eastAsia" w:ascii="楷体_GB2312" w:hAnsi="宋体" w:eastAsia="楷体_GB2312" w:cs="宋体"/>
                <w:color w:val="000000" w:themeColor="text1"/>
                <w:kern w:val="0"/>
                <w:szCs w:val="21"/>
                <w14:textFill>
                  <w14:solidFill>
                    <w14:schemeClr w14:val="tx1"/>
                  </w14:solidFill>
                </w14:textFill>
              </w:rPr>
              <w:t>.各项应急准备措施落实到位。</w:t>
            </w:r>
          </w:p>
        </w:tc>
        <w:tc>
          <w:tcPr>
            <w:tcW w:w="765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1.《国务院关于进一步加强企业安全生产工作的通知》</w:t>
            </w:r>
            <w:r>
              <w:rPr>
                <w:rFonts w:ascii="楷体_GB2312" w:hAnsi="宋体" w:eastAsia="楷体_GB2312" w:cs="宋体"/>
                <w:color w:val="000000" w:themeColor="text1"/>
                <w:kern w:val="0"/>
                <w:szCs w:val="21"/>
                <w14:textFill>
                  <w14:solidFill>
                    <w14:schemeClr w14:val="tx1"/>
                  </w14:solidFill>
                </w14:textFill>
              </w:rPr>
              <w:t>17.完善企业应急预案。</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2.《国务院安委会关于进一步加强生产安全事故应急处置工作的通知》（安委〔2013〕8号）三、进一步规范事故现场应急处置（四）确保安全有效施救。</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3.《中华人民共和国突发事件应对法》第十八条。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4.《生产安全事故应急条例》第五条、第六条。</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5.《生产安全事故应急预案管理办法》（国家安全生产监督管理总局令第88号，根据应急管理部令第2号修正）第七条、第十条。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6.《国家安全监管总局关于加强科学施救提高生产安全事故灾难应急救援水平的指导意见》（安监总应急〔2012〕147号）（八）完善安全生产应急响应机制、（十四）加强应急预案与演练工作、（十五）加强高危行业企业相关人员的培训教育。</w:t>
            </w:r>
          </w:p>
          <w:p>
            <w:pPr>
              <w:jc w:val="left"/>
              <w:rPr>
                <w:rFonts w:ascii="楷体_GB2312" w:hAnsi="宋体" w:eastAsia="楷体_GB2312" w:cs="宋体"/>
                <w:color w:val="000000" w:themeColor="text1"/>
                <w:kern w:val="0"/>
                <w:szCs w:val="21"/>
                <w14:textFill>
                  <w14:solidFill>
                    <w14:schemeClr w14:val="tx1"/>
                  </w14:solidFill>
                </w14:textFill>
              </w:rPr>
            </w:pPr>
          </w:p>
        </w:tc>
      </w:tr>
    </w:tbl>
    <w:p>
      <w:pPr>
        <w:spacing w:line="560" w:lineRule="exact"/>
        <w:jc w:val="left"/>
        <w:rPr>
          <w:rFonts w:ascii="仿宋_GB2312" w:hAnsi="宋体" w:eastAsia="仿宋_GB2312"/>
          <w:color w:val="000000" w:themeColor="text1"/>
          <w:sz w:val="32"/>
          <w:szCs w:val="32"/>
          <w14:textFill>
            <w14:solidFill>
              <w14:schemeClr w14:val="tx1"/>
            </w14:solidFill>
          </w14:textFill>
        </w:rPr>
      </w:pPr>
    </w:p>
    <w:p>
      <w:pPr>
        <w:widowControl/>
        <w:jc w:val="left"/>
        <w:rPr>
          <w:rFonts w:ascii="仿宋_GB2312" w:hAnsi="宋体" w:eastAsia="仿宋_GB2312"/>
          <w:color w:val="000000" w:themeColor="text1"/>
          <w:sz w:val="32"/>
          <w:szCs w:val="32"/>
          <w14:textFill>
            <w14:solidFill>
              <w14:schemeClr w14:val="tx1"/>
            </w14:solidFill>
          </w14:textFill>
        </w:rPr>
      </w:pPr>
      <w:r>
        <w:rPr>
          <w:rFonts w:ascii="仿宋_GB2312" w:hAnsi="宋体" w:eastAsia="仿宋_GB2312"/>
          <w:color w:val="000000" w:themeColor="text1"/>
          <w:sz w:val="32"/>
          <w:szCs w:val="32"/>
          <w14:textFill>
            <w14:solidFill>
              <w14:schemeClr w14:val="tx1"/>
            </w14:solidFill>
          </w14:textFill>
        </w:rPr>
        <w:br w:type="page"/>
      </w:r>
    </w:p>
    <w:p>
      <w:pPr>
        <w:spacing w:line="560" w:lineRule="exact"/>
        <w:jc w:val="center"/>
        <w:rPr>
          <w:rFonts w:ascii="华文中宋" w:hAnsi="华文中宋" w:eastAsia="华文中宋" w:cs="宋体"/>
          <w:color w:val="000000" w:themeColor="text1"/>
          <w:kern w:val="0"/>
          <w:sz w:val="44"/>
          <w:szCs w:val="44"/>
          <w14:textFill>
            <w14:solidFill>
              <w14:schemeClr w14:val="tx1"/>
            </w14:solidFill>
          </w14:textFill>
        </w:rPr>
      </w:pPr>
      <w:r>
        <w:rPr>
          <w:rFonts w:hint="eastAsia" w:ascii="华文中宋" w:hAnsi="华文中宋" w:eastAsia="华文中宋" w:cs="宋体"/>
          <w:color w:val="000000" w:themeColor="text1"/>
          <w:kern w:val="0"/>
          <w:sz w:val="44"/>
          <w:szCs w:val="44"/>
          <w14:textFill>
            <w14:solidFill>
              <w14:schemeClr w14:val="tx1"/>
            </w14:solidFill>
          </w14:textFill>
        </w:rPr>
        <w:t>危险化学品企业生产安全事故应急准备工作表</w:t>
      </w:r>
    </w:p>
    <w:p>
      <w:pPr>
        <w:spacing w:line="560" w:lineRule="exact"/>
        <w:jc w:val="left"/>
        <w:rPr>
          <w:rFonts w:ascii="仿宋_GB2312" w:hAnsi="宋体" w:eastAsia="仿宋_GB2312"/>
          <w:b/>
          <w:color w:val="000000" w:themeColor="text1"/>
          <w:sz w:val="32"/>
          <w:szCs w:val="32"/>
          <w14:textFill>
            <w14:solidFill>
              <w14:schemeClr w14:val="tx1"/>
            </w14:solidFill>
          </w14:textFill>
        </w:rPr>
      </w:pPr>
      <w:r>
        <w:rPr>
          <w:rFonts w:hint="eastAsia" w:ascii="楷体_GB2312" w:hAnsi="宋体" w:eastAsia="楷体_GB2312" w:cs="宋体"/>
          <w:b/>
          <w:color w:val="000000" w:themeColor="text1"/>
          <w:kern w:val="0"/>
          <w:szCs w:val="21"/>
          <w14:textFill>
            <w14:solidFill>
              <w14:schemeClr w14:val="tx1"/>
            </w14:solidFill>
          </w14:textFill>
        </w:rPr>
        <w:t>要素2：组织与职责</w:t>
      </w:r>
    </w:p>
    <w:tbl>
      <w:tblPr>
        <w:tblStyle w:val="11"/>
        <w:tblW w:w="14034" w:type="dxa"/>
        <w:tblInd w:w="-318" w:type="dxa"/>
        <w:tblLayout w:type="fixed"/>
        <w:tblCellMar>
          <w:top w:w="0" w:type="dxa"/>
          <w:left w:w="108" w:type="dxa"/>
          <w:bottom w:w="0" w:type="dxa"/>
          <w:right w:w="108" w:type="dxa"/>
        </w:tblCellMar>
      </w:tblPr>
      <w:tblGrid>
        <w:gridCol w:w="710"/>
        <w:gridCol w:w="1134"/>
        <w:gridCol w:w="4536"/>
        <w:gridCol w:w="7654"/>
      </w:tblGrid>
      <w:tr>
        <w:tblPrEx>
          <w:tblCellMar>
            <w:top w:w="0" w:type="dxa"/>
            <w:left w:w="108" w:type="dxa"/>
            <w:bottom w:w="0" w:type="dxa"/>
            <w:right w:w="108" w:type="dxa"/>
          </w:tblCellMar>
        </w:tblPrEx>
        <w:trPr>
          <w:trHeight w:val="632"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序号</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项目</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内容</w:t>
            </w:r>
          </w:p>
        </w:tc>
        <w:tc>
          <w:tcPr>
            <w:tcW w:w="76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依据</w:t>
            </w:r>
          </w:p>
        </w:tc>
      </w:tr>
      <w:tr>
        <w:tblPrEx>
          <w:tblCellMar>
            <w:top w:w="0" w:type="dxa"/>
            <w:left w:w="108" w:type="dxa"/>
            <w:bottom w:w="0" w:type="dxa"/>
            <w:right w:w="108" w:type="dxa"/>
          </w:tblCellMar>
        </w:tblPrEx>
        <w:trPr>
          <w:trHeight w:val="3040" w:hRule="atLeast"/>
        </w:trPr>
        <w:tc>
          <w:tcPr>
            <w:tcW w:w="7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w:t>
            </w:r>
          </w:p>
        </w:tc>
        <w:tc>
          <w:tcPr>
            <w:tcW w:w="1134"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应急组织</w:t>
            </w:r>
          </w:p>
        </w:tc>
        <w:tc>
          <w:tcPr>
            <w:tcW w:w="4536"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1.设置负有应急管理职责的安全生产管理机构或配备负有应急管理职责的专职安全生产人员；</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w:t>
            </w:r>
            <w:r>
              <w:rPr>
                <w:rFonts w:ascii="楷体_GB2312" w:hAnsi="宋体" w:eastAsia="楷体_GB2312" w:cs="宋体"/>
                <w:color w:val="000000" w:themeColor="text1"/>
                <w:kern w:val="0"/>
                <w:szCs w:val="21"/>
                <w14:textFill>
                  <w14:solidFill>
                    <w14:schemeClr w14:val="tx1"/>
                  </w14:solidFill>
                </w14:textFill>
              </w:rPr>
              <w:t>中央企业应当</w:t>
            </w:r>
            <w:r>
              <w:rPr>
                <w:rFonts w:hint="eastAsia" w:ascii="楷体_GB2312" w:hAnsi="宋体" w:eastAsia="楷体_GB2312" w:cs="宋体"/>
                <w:color w:val="000000" w:themeColor="text1"/>
                <w:kern w:val="0"/>
                <w:szCs w:val="21"/>
                <w14:textFill>
                  <w14:solidFill>
                    <w14:schemeClr w14:val="tx1"/>
                  </w14:solidFill>
                </w14:textFill>
              </w:rPr>
              <w:t>按规定</w:t>
            </w:r>
            <w:r>
              <w:rPr>
                <w:rFonts w:ascii="楷体_GB2312" w:hAnsi="宋体" w:eastAsia="楷体_GB2312" w:cs="宋体"/>
                <w:color w:val="000000" w:themeColor="text1"/>
                <w:kern w:val="0"/>
                <w:szCs w:val="21"/>
                <w14:textFill>
                  <w14:solidFill>
                    <w14:schemeClr w14:val="tx1"/>
                  </w14:solidFill>
                </w14:textFill>
              </w:rPr>
              <w:t>建立健全应急管理组织体系，明确本企业应急管理的综合协调部门和各类突发事件分管部门的职责</w:t>
            </w:r>
            <w:r>
              <w:rPr>
                <w:rFonts w:hint="eastAsia" w:ascii="楷体_GB2312" w:hAnsi="宋体" w:eastAsia="楷体_GB2312" w:cs="宋体"/>
                <w:color w:val="000000" w:themeColor="text1"/>
                <w:kern w:val="0"/>
                <w:szCs w:val="21"/>
                <w14:textFill>
                  <w14:solidFill>
                    <w14:schemeClr w14:val="tx1"/>
                  </w14:solidFill>
                </w14:textFill>
              </w:rPr>
              <w:t>；</w:t>
            </w:r>
          </w:p>
          <w:p>
            <w:pPr>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3.规模较大、危险性较高的易燃易爆物品、危险化学品等危险物品的生产、经营、储存单位应当成立应急处置技术组，实行24小时应急值班；</w:t>
            </w:r>
          </w:p>
          <w:p>
            <w:pPr>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4.建立包括工艺、设备、电气、消（气）防、安全、环保等专业的应急专家库，为处置突发事件提供技术支撑。</w:t>
            </w:r>
          </w:p>
        </w:tc>
        <w:tc>
          <w:tcPr>
            <w:tcW w:w="7654"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1.《中共中央 国务院关于推进安全生产领域改革发展的意见》（六）严格落实企业主体责任。</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2.《中华人民共和国安全生产法》第五条、第二十一条。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3.《生产安全事故应急条例》第四条、十四条。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4.《中央企业应急管理暂行办法》（国务院国有资产监督管理委员会令31号）第十一条。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5.《企业安全生产标准化基本规范》（GB/T 33000-2016）5.6.1.1 应急救援组织。</w:t>
            </w:r>
          </w:p>
          <w:p>
            <w:pPr>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6.《生产经营单位生产安全事故应急预案编制导则》（GB/T29639-2013）6.8.2。7.《国家安全监管总局关于加强科学施救提高生产安全事故灾难应急救援水平的指导意见》（安监总应急〔2012〕147号）（八）完善安全生产应急响应机制。</w:t>
            </w:r>
          </w:p>
          <w:p>
            <w:pPr>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8.《国家安全监管总局关于加强化工过程安全管理的指导意见》（安监总管三〔2013〕88号）（二十六）提高应急响应能力。</w:t>
            </w:r>
          </w:p>
        </w:tc>
      </w:tr>
      <w:tr>
        <w:tblPrEx>
          <w:tblCellMar>
            <w:top w:w="0" w:type="dxa"/>
            <w:left w:w="108" w:type="dxa"/>
            <w:bottom w:w="0" w:type="dxa"/>
            <w:right w:w="108" w:type="dxa"/>
          </w:tblCellMar>
        </w:tblPrEx>
        <w:trPr>
          <w:trHeight w:val="3125"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职责任务</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 建立健全各级生产安全事故应急工作责任制；</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2.企业主要负责人对本单位的生产安全事故应急工作全面负责；</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3.法定代表人和实际控制人同为安全生产第一责任人，主要技术负责人负有安全生产技术决策和指挥权；</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4.各分管负责人应当按照职责分工落实应急预案规定的职责；</w:t>
            </w:r>
          </w:p>
          <w:p>
            <w:pPr>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5.在应急制度、预案中对组织机构、人员及职责进行明确规定。</w:t>
            </w:r>
          </w:p>
        </w:tc>
        <w:tc>
          <w:tcPr>
            <w:tcW w:w="7654" w:type="dxa"/>
            <w:tcBorders>
              <w:top w:val="single" w:color="auto" w:sz="4" w:space="0"/>
              <w:left w:val="nil"/>
              <w:bottom w:val="single" w:color="auto" w:sz="4" w:space="0"/>
              <w:right w:val="single" w:color="auto" w:sz="4" w:space="0"/>
            </w:tcBorders>
            <w:shd w:val="clear" w:color="auto" w:fill="auto"/>
            <w:vAlign w:val="center"/>
          </w:tcPr>
          <w:p>
            <w:pPr>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1.《中共中央 国务院关于推进安全生产领域改革发展的意见》（六）严格落实企业主体责任。</w:t>
            </w:r>
          </w:p>
          <w:p>
            <w:pPr>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2.《中华人民共和国安全生产法》第十八条。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3.《生产安全事故应急条例》第四条。</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ascii="楷体_GB2312" w:hAnsi="宋体" w:eastAsia="楷体_GB2312" w:cs="宋体"/>
                <w:color w:val="000000" w:themeColor="text1"/>
                <w:kern w:val="0"/>
                <w:szCs w:val="21"/>
                <w14:textFill>
                  <w14:solidFill>
                    <w14:schemeClr w14:val="tx1"/>
                  </w14:solidFill>
                </w14:textFill>
              </w:rPr>
              <w:t>4.</w:t>
            </w:r>
            <w:r>
              <w:rPr>
                <w:rFonts w:hint="eastAsia" w:ascii="楷体_GB2312" w:hAnsi="宋体" w:eastAsia="楷体_GB2312" w:cs="宋体"/>
                <w:color w:val="000000" w:themeColor="text1"/>
                <w:kern w:val="0"/>
                <w:szCs w:val="21"/>
                <w14:textFill>
                  <w14:solidFill>
                    <w14:schemeClr w14:val="tx1"/>
                  </w14:solidFill>
                </w14:textFill>
              </w:rPr>
              <w:t>《生产安全事故应急预案管理办法》（国家安全生产监督管理总局令第88号，根据应急管理部令第2号修正）第五条。</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5.《中央企业应急管理暂行办法》（国务院国有资产监督管理委员会令31号）第十一条。</w:t>
            </w:r>
          </w:p>
        </w:tc>
      </w:tr>
    </w:tbl>
    <w:p>
      <w:pPr>
        <w:widowControl/>
        <w:jc w:val="center"/>
        <w:rPr>
          <w:rFonts w:ascii="仿宋_GB2312" w:hAnsi="宋体" w:eastAsia="仿宋_GB2312"/>
          <w:color w:val="000000" w:themeColor="text1"/>
          <w:sz w:val="32"/>
          <w:szCs w:val="32"/>
          <w14:textFill>
            <w14:solidFill>
              <w14:schemeClr w14:val="tx1"/>
            </w14:solidFill>
          </w14:textFill>
        </w:rPr>
      </w:pPr>
    </w:p>
    <w:p>
      <w:pPr>
        <w:widowControl/>
        <w:jc w:val="center"/>
        <w:rPr>
          <w:rFonts w:ascii="华文中宋" w:hAnsi="华文中宋" w:eastAsia="华文中宋" w:cs="宋体"/>
          <w:color w:val="000000" w:themeColor="text1"/>
          <w:kern w:val="0"/>
          <w:sz w:val="44"/>
          <w:szCs w:val="44"/>
          <w14:textFill>
            <w14:solidFill>
              <w14:schemeClr w14:val="tx1"/>
            </w14:solidFill>
          </w14:textFill>
        </w:rPr>
      </w:pPr>
      <w:r>
        <w:rPr>
          <w:rFonts w:hint="eastAsia" w:ascii="华文中宋" w:hAnsi="华文中宋" w:eastAsia="华文中宋" w:cs="宋体"/>
          <w:color w:val="000000" w:themeColor="text1"/>
          <w:kern w:val="0"/>
          <w:sz w:val="44"/>
          <w:szCs w:val="44"/>
          <w14:textFill>
            <w14:solidFill>
              <w14:schemeClr w14:val="tx1"/>
            </w14:solidFill>
          </w14:textFill>
        </w:rPr>
        <w:t>危险化学品企业生产安全事故应急准备工作表</w:t>
      </w:r>
    </w:p>
    <w:p>
      <w:pPr>
        <w:spacing w:line="560" w:lineRule="exact"/>
        <w:jc w:val="left"/>
        <w:rPr>
          <w:rFonts w:ascii="楷体_GB2312" w:hAnsi="宋体" w:eastAsia="楷体_GB2312" w:cs="宋体"/>
          <w:b/>
          <w:color w:val="000000" w:themeColor="text1"/>
          <w:kern w:val="0"/>
          <w:szCs w:val="21"/>
          <w14:textFill>
            <w14:solidFill>
              <w14:schemeClr w14:val="tx1"/>
            </w14:solidFill>
          </w14:textFill>
        </w:rPr>
      </w:pPr>
      <w:r>
        <w:rPr>
          <w:rFonts w:hint="eastAsia" w:ascii="楷体_GB2312" w:hAnsi="宋体" w:eastAsia="楷体_GB2312" w:cs="宋体"/>
          <w:b/>
          <w:color w:val="000000" w:themeColor="text1"/>
          <w:kern w:val="0"/>
          <w:szCs w:val="21"/>
          <w14:textFill>
            <w14:solidFill>
              <w14:schemeClr w14:val="tx1"/>
            </w14:solidFill>
          </w14:textFill>
        </w:rPr>
        <w:t>要素3：法律法规</w:t>
      </w:r>
    </w:p>
    <w:tbl>
      <w:tblPr>
        <w:tblStyle w:val="11"/>
        <w:tblW w:w="14034"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134"/>
        <w:gridCol w:w="4536"/>
        <w:gridCol w:w="7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10" w:type="dxa"/>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序号</w:t>
            </w:r>
          </w:p>
        </w:tc>
        <w:tc>
          <w:tcPr>
            <w:tcW w:w="1134" w:type="dxa"/>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项目</w:t>
            </w:r>
          </w:p>
        </w:tc>
        <w:tc>
          <w:tcPr>
            <w:tcW w:w="4536" w:type="dxa"/>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内容</w:t>
            </w:r>
          </w:p>
        </w:tc>
        <w:tc>
          <w:tcPr>
            <w:tcW w:w="7654" w:type="dxa"/>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4" w:hRule="atLeast"/>
        </w:trPr>
        <w:tc>
          <w:tcPr>
            <w:tcW w:w="710" w:type="dxa"/>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w:t>
            </w:r>
          </w:p>
        </w:tc>
        <w:tc>
          <w:tcPr>
            <w:tcW w:w="1134" w:type="dxa"/>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法律法规识别</w:t>
            </w:r>
          </w:p>
        </w:tc>
        <w:tc>
          <w:tcPr>
            <w:tcW w:w="4536" w:type="dxa"/>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1.建立安全生产应急管理法律、法规、标准、规范的管理制度，明确主管部门，确定获取的渠道、方式；</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2.及时识别和获取适用、有效的法律法规、标准规范；</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3.建立法律法规、标准规范清单和文本数据库，并及时更新。</w:t>
            </w:r>
          </w:p>
        </w:tc>
        <w:tc>
          <w:tcPr>
            <w:tcW w:w="7654" w:type="dxa"/>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1.《企业安全生产标准化基本规范》（GB/T 33000-2016）5.2.1 法规标准识别。2.《危险化学品从业单位安全生产标准化评审标准》（安监总管三〔2011〕93号）要素一。</w:t>
            </w:r>
            <w:r>
              <w:rPr>
                <w:rFonts w:hint="eastAsia" w:ascii="楷体_GB2312" w:hAnsi="宋体" w:eastAsia="楷体_GB2312" w:cs="宋体"/>
                <w:color w:val="000000" w:themeColor="text1"/>
                <w:kern w:val="0"/>
                <w:szCs w:val="21"/>
                <w14:textFill>
                  <w14:solidFill>
                    <w14:schemeClr w14:val="tx1"/>
                  </w14:solidFill>
                </w14:textFill>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atLeast"/>
        </w:trPr>
        <w:tc>
          <w:tcPr>
            <w:tcW w:w="710" w:type="dxa"/>
            <w:shd w:val="clear" w:color="000000" w:fill="FFFFFF"/>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w:t>
            </w:r>
          </w:p>
        </w:tc>
        <w:tc>
          <w:tcPr>
            <w:tcW w:w="1134" w:type="dxa"/>
            <w:shd w:val="clear" w:color="000000" w:fill="FFFFFF"/>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法律法规转化</w:t>
            </w:r>
          </w:p>
        </w:tc>
        <w:tc>
          <w:tcPr>
            <w:tcW w:w="4536" w:type="dxa"/>
            <w:shd w:val="clear" w:color="000000" w:fill="FFFFFF"/>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1.将识别出的应急法律、法规、标准、规范要求，转化为企业应急管理制度、工作措施或工作任务等；</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2.对相关人员进行培训。</w:t>
            </w:r>
          </w:p>
        </w:tc>
        <w:tc>
          <w:tcPr>
            <w:tcW w:w="7654" w:type="dxa"/>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1.《企业安全生产标准化基本规范》（GB/T 33000-2016）5.2.1 法规标准识别。</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2.《危险化学品从业单位安全生产标准化评审标准》（安监总管三〔2011〕93号）要素四。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4" w:hRule="atLeast"/>
        </w:trPr>
        <w:tc>
          <w:tcPr>
            <w:tcW w:w="710" w:type="dxa"/>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w:t>
            </w:r>
          </w:p>
        </w:tc>
        <w:tc>
          <w:tcPr>
            <w:tcW w:w="1134" w:type="dxa"/>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建立应急管理制度</w:t>
            </w:r>
          </w:p>
          <w:p>
            <w:pPr>
              <w:jc w:val="center"/>
              <w:rPr>
                <w:rFonts w:ascii="楷体_GB2312" w:hAnsi="宋体" w:eastAsia="楷体_GB2312" w:cs="宋体"/>
                <w:color w:val="000000" w:themeColor="text1"/>
                <w:kern w:val="0"/>
                <w:szCs w:val="21"/>
                <w14:textFill>
                  <w14:solidFill>
                    <w14:schemeClr w14:val="tx1"/>
                  </w14:solidFill>
                </w14:textFill>
              </w:rPr>
            </w:pPr>
          </w:p>
        </w:tc>
        <w:tc>
          <w:tcPr>
            <w:tcW w:w="4536" w:type="dxa"/>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1.应建立健全应急值班值守、信息报告、应急投入、物资保障、人员培训及预案管理（定期评估、修订、备案、公布）等应急救援管理制度，应明确并公示本企业应急领导小组及联系方式等信息；</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2.根据《生产安全事故应急预案管理办法》及有关标准、规定编制应急预案管理制度；</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3.建立应急救援物资的有关制度和记录：物资清单、物资使用管理制度、物资测试检修制度、物资租用制度、资料管理制度、物资调用和使用记录、物资检查维护、报废及更新记录。</w:t>
            </w:r>
          </w:p>
        </w:tc>
        <w:tc>
          <w:tcPr>
            <w:tcW w:w="7654" w:type="dxa"/>
            <w:shd w:val="clear" w:color="auto" w:fill="auto"/>
            <w:vAlign w:val="center"/>
          </w:tcPr>
          <w:p>
            <w:pPr>
              <w:widowControl/>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1.《生产安全事故应急条例》第五条、第十四条。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2.《生产安全事故应急预案管理办法》（国家安全生产监督管理总局令第88号，根据应急管理部令第2号修正）第三十五条。</w:t>
            </w:r>
          </w:p>
          <w:p>
            <w:pPr>
              <w:widowControl/>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3.《中央企业应急管理暂行办法》(国务院国有资产监督管理委员会令31号) 第十四条。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4.《危险化学品单位应急救援物资配备要求》（GB30077-2013）9.1。</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5.《危险化学品应急救援管理人员培训及考核要求》（AQ/T3043-2013）4 培训要求。</w:t>
            </w:r>
          </w:p>
          <w:p>
            <w:pPr>
              <w:widowControl/>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6.《国务院安委会办公室关于贯彻落实国务院&lt;通知&gt;精神进一步加强安全生产应急救援体系建设的实施意见》（安委办〔2010〕25号）（十五）进一步加强安全生产应急工作法制建设。</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7.《危险化学品从业单位安全生产标准化评审标准》（安监总管三〔2011〕93号）要素四。</w:t>
            </w:r>
          </w:p>
        </w:tc>
      </w:tr>
    </w:tbl>
    <w:p>
      <w:pPr>
        <w:spacing w:line="560" w:lineRule="exact"/>
        <w:jc w:val="center"/>
        <w:rPr>
          <w:rFonts w:ascii="华文中宋" w:hAnsi="华文中宋" w:eastAsia="华文中宋" w:cs="宋体"/>
          <w:color w:val="000000" w:themeColor="text1"/>
          <w:kern w:val="0"/>
          <w:sz w:val="44"/>
          <w:szCs w:val="44"/>
          <w14:textFill>
            <w14:solidFill>
              <w14:schemeClr w14:val="tx1"/>
            </w14:solidFill>
          </w14:textFill>
        </w:rPr>
      </w:pPr>
      <w:r>
        <w:rPr>
          <w:rFonts w:hint="eastAsia" w:ascii="华文中宋" w:hAnsi="华文中宋" w:eastAsia="华文中宋" w:cs="宋体"/>
          <w:color w:val="000000" w:themeColor="text1"/>
          <w:kern w:val="0"/>
          <w:sz w:val="44"/>
          <w:szCs w:val="44"/>
          <w14:textFill>
            <w14:solidFill>
              <w14:schemeClr w14:val="tx1"/>
            </w14:solidFill>
          </w14:textFill>
        </w:rPr>
        <w:t>危险化学品企业生产安全事故应急准备工作表</w:t>
      </w:r>
    </w:p>
    <w:p>
      <w:pPr>
        <w:spacing w:line="560" w:lineRule="exact"/>
        <w:jc w:val="left"/>
        <w:rPr>
          <w:rFonts w:ascii="楷体_GB2312" w:hAnsi="宋体" w:eastAsia="楷体_GB2312" w:cs="宋体"/>
          <w:b/>
          <w:color w:val="000000" w:themeColor="text1"/>
          <w:kern w:val="0"/>
          <w:szCs w:val="21"/>
          <w14:textFill>
            <w14:solidFill>
              <w14:schemeClr w14:val="tx1"/>
            </w14:solidFill>
          </w14:textFill>
        </w:rPr>
      </w:pPr>
      <w:r>
        <w:rPr>
          <w:rFonts w:hint="eastAsia" w:ascii="楷体_GB2312" w:hAnsi="宋体" w:eastAsia="楷体_GB2312" w:cs="宋体"/>
          <w:b/>
          <w:color w:val="000000" w:themeColor="text1"/>
          <w:kern w:val="0"/>
          <w:szCs w:val="21"/>
          <w14:textFill>
            <w14:solidFill>
              <w14:schemeClr w14:val="tx1"/>
            </w14:solidFill>
          </w14:textFill>
        </w:rPr>
        <w:t>要素4：风险评估</w:t>
      </w:r>
    </w:p>
    <w:tbl>
      <w:tblPr>
        <w:tblStyle w:val="11"/>
        <w:tblW w:w="14034" w:type="dxa"/>
        <w:tblInd w:w="-318" w:type="dxa"/>
        <w:tblLayout w:type="fixed"/>
        <w:tblCellMar>
          <w:top w:w="0" w:type="dxa"/>
          <w:left w:w="108" w:type="dxa"/>
          <w:bottom w:w="0" w:type="dxa"/>
          <w:right w:w="108" w:type="dxa"/>
        </w:tblCellMar>
      </w:tblPr>
      <w:tblGrid>
        <w:gridCol w:w="710"/>
        <w:gridCol w:w="1134"/>
        <w:gridCol w:w="4536"/>
        <w:gridCol w:w="7654"/>
      </w:tblGrid>
      <w:tr>
        <w:tblPrEx>
          <w:tblCellMar>
            <w:top w:w="0" w:type="dxa"/>
            <w:left w:w="108" w:type="dxa"/>
            <w:bottom w:w="0" w:type="dxa"/>
            <w:right w:w="108" w:type="dxa"/>
          </w:tblCellMar>
        </w:tblPrEx>
        <w:trPr>
          <w:trHeight w:val="408"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序号</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项目</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内容</w:t>
            </w:r>
          </w:p>
        </w:tc>
        <w:tc>
          <w:tcPr>
            <w:tcW w:w="76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依据</w:t>
            </w:r>
          </w:p>
        </w:tc>
      </w:tr>
      <w:tr>
        <w:tblPrEx>
          <w:tblCellMar>
            <w:top w:w="0" w:type="dxa"/>
            <w:left w:w="108" w:type="dxa"/>
            <w:bottom w:w="0" w:type="dxa"/>
            <w:right w:w="108" w:type="dxa"/>
          </w:tblCellMar>
        </w:tblPrEx>
        <w:trPr>
          <w:trHeight w:val="2103" w:hRule="atLeast"/>
        </w:trPr>
        <w:tc>
          <w:tcPr>
            <w:tcW w:w="7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风险辨识</w:t>
            </w:r>
          </w:p>
        </w:tc>
        <w:tc>
          <w:tcPr>
            <w:tcW w:w="4536"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运用标准比对（如《生产过程危险和有害因素分类与代码》《危险化学品重大危险源辨识》</w:t>
            </w:r>
            <w:r>
              <w:rPr>
                <w:rFonts w:ascii="楷体_GB2312" w:hAnsi="宋体" w:eastAsia="楷体_GB2312" w:cs="宋体"/>
                <w:color w:val="000000" w:themeColor="text1"/>
                <w:kern w:val="0"/>
                <w:szCs w:val="21"/>
                <w14:textFill>
                  <w14:solidFill>
                    <w14:schemeClr w14:val="tx1"/>
                  </w14:solidFill>
                </w14:textFill>
              </w:rPr>
              <w:t>《职业病危害因素分类目录》</w:t>
            </w:r>
            <w:r>
              <w:rPr>
                <w:rFonts w:hint="eastAsia" w:ascii="楷体_GB2312" w:hAnsi="宋体" w:eastAsia="楷体_GB2312" w:cs="宋体"/>
                <w:color w:val="000000" w:themeColor="text1"/>
                <w:kern w:val="0"/>
                <w:szCs w:val="21"/>
                <w14:textFill>
                  <w14:solidFill>
                    <w14:schemeClr w14:val="tx1"/>
                  </w14:solidFill>
                </w14:textFill>
              </w:rPr>
              <w:t>）、检查表、风险矩阵等方法，辨识危险有害因素、风险源、可能的事故及原因、后果等。</w:t>
            </w:r>
          </w:p>
        </w:tc>
        <w:tc>
          <w:tcPr>
            <w:tcW w:w="7654" w:type="dxa"/>
            <w:tcBorders>
              <w:top w:val="nil"/>
              <w:left w:val="nil"/>
              <w:bottom w:val="single" w:color="auto" w:sz="4" w:space="0"/>
              <w:right w:val="single" w:color="auto" w:sz="4" w:space="0"/>
            </w:tcBorders>
            <w:shd w:val="clear" w:color="auto" w:fill="auto"/>
            <w:vAlign w:val="center"/>
          </w:tcPr>
          <w:p>
            <w:pPr>
              <w:widowControl/>
              <w:spacing w:line="22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1.《生产安全事故应急条例》第五条。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2.《生产安全事故应急预案管理办法》（国家安全生产监督管理总局令第88号，根据应急管理部令第2号修正）第十条。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3.《中央企业应急管理暂行办法》(国务院国有资产监督管理委员会令31号) 第十四条。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4.《生产经营单位生产安全事故应急预案编制导则》（GB/T 29639-2013）4.4风险评估。</w:t>
            </w:r>
          </w:p>
          <w:p>
            <w:pPr>
              <w:widowControl/>
              <w:spacing w:line="22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5.《风险管理 原则与实施指南》（GB/T24353-2009）5.3风险评估。</w:t>
            </w:r>
          </w:p>
          <w:p>
            <w:pPr>
              <w:widowControl/>
              <w:spacing w:line="22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6.《风险管理 风险评估技术》（GB/T27921-2011）6风险评估技术的选择。</w:t>
            </w:r>
          </w:p>
        </w:tc>
      </w:tr>
      <w:tr>
        <w:tblPrEx>
          <w:tblCellMar>
            <w:top w:w="0" w:type="dxa"/>
            <w:left w:w="108" w:type="dxa"/>
            <w:bottom w:w="0" w:type="dxa"/>
            <w:right w:w="108" w:type="dxa"/>
          </w:tblCellMar>
        </w:tblPrEx>
        <w:trPr>
          <w:trHeight w:val="1818" w:hRule="atLeast"/>
        </w:trPr>
        <w:tc>
          <w:tcPr>
            <w:tcW w:w="7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w:t>
            </w:r>
          </w:p>
        </w:tc>
        <w:tc>
          <w:tcPr>
            <w:tcW w:w="113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风险分析</w:t>
            </w:r>
          </w:p>
        </w:tc>
        <w:tc>
          <w:tcPr>
            <w:tcW w:w="4536"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根据风险分析的目的、获得的信息数据和资源，采用定性、定量或定性、定量相结合的方法，对辨识出的风险后果的严重性、发生的可能性进行分析，为风险评价和应对提供支持。</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一般情况下，首先采取定性分析，初步了解风险等级和揭示主要风险。</w:t>
            </w:r>
          </w:p>
        </w:tc>
        <w:tc>
          <w:tcPr>
            <w:tcW w:w="7654" w:type="dxa"/>
            <w:tcBorders>
              <w:top w:val="nil"/>
              <w:left w:val="nil"/>
              <w:bottom w:val="single" w:color="auto" w:sz="4" w:space="0"/>
              <w:right w:val="single" w:color="auto" w:sz="4" w:space="0"/>
            </w:tcBorders>
            <w:shd w:val="clear" w:color="auto" w:fill="auto"/>
            <w:vAlign w:val="center"/>
          </w:tcPr>
          <w:p>
            <w:pPr>
              <w:widowControl/>
              <w:spacing w:line="22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1.《生产安全事故应急条例》第五条。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2.《生产安全事故应急预案管理办法》（国家安全生产监督管理总局令第88号，根据应急管理部令第2号修正）第十条。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3.《中央企业应急管理暂行办法》(国务院国有资产监督管理委员会令31号) 第十四条。</w:t>
            </w:r>
          </w:p>
          <w:p>
            <w:pPr>
              <w:widowControl/>
              <w:spacing w:line="22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4.《生产经营单位生产安全事故应急预案编制导则》（GB/T 29639-2013)4.4风险评估。</w:t>
            </w:r>
          </w:p>
          <w:p>
            <w:pPr>
              <w:widowControl/>
              <w:spacing w:line="22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5.《风险管理 原则与实施指南》（GB/T24353-2009）5.3风险评估。</w:t>
            </w:r>
          </w:p>
        </w:tc>
      </w:tr>
      <w:tr>
        <w:tblPrEx>
          <w:tblCellMar>
            <w:top w:w="0" w:type="dxa"/>
            <w:left w:w="108" w:type="dxa"/>
            <w:bottom w:w="0" w:type="dxa"/>
            <w:right w:w="108" w:type="dxa"/>
          </w:tblCellMar>
        </w:tblPrEx>
        <w:trPr>
          <w:trHeight w:val="2278"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风险评价</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1.确定风险等级，根据可接受风险程度，提出针对性的风险防控措施；</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通过定量风险分析确定的重大危险源的个人和社会风险值，不得超过《危险化学品重大危险源监督管理暂行规定》中可容许风险限值标准，超过个人和社会可容许风险限值标准的，危险化学品单位应当采取相应的降低风险措施。</w:t>
            </w:r>
          </w:p>
        </w:tc>
        <w:tc>
          <w:tcPr>
            <w:tcW w:w="7654" w:type="dxa"/>
            <w:tcBorders>
              <w:top w:val="single" w:color="auto" w:sz="4" w:space="0"/>
              <w:left w:val="nil"/>
              <w:bottom w:val="single" w:color="auto" w:sz="4" w:space="0"/>
              <w:right w:val="single" w:color="auto" w:sz="4" w:space="0"/>
            </w:tcBorders>
            <w:shd w:val="clear" w:color="auto" w:fill="auto"/>
            <w:vAlign w:val="center"/>
          </w:tcPr>
          <w:p>
            <w:pPr>
              <w:widowControl/>
              <w:spacing w:line="22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1.《生产安全事故应急条例》第五条。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2.《生产安全事故应急预案管理办法》（国家安全生产监督管理总局令第88号，根据应急管理部令第2号修正）第十条。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3.《危险化学品重大危险源监督管理暂行规定》（国家安全生产监督管理总局令第40号，根据国家安全监管总局令第79号修正）第十四条。</w:t>
            </w:r>
          </w:p>
          <w:p>
            <w:pPr>
              <w:widowControl/>
              <w:spacing w:line="22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4.《中央企业应急管理暂行办法》(国务院国有资产监督管理委员会令31号) 第十四条。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5.《生产经营单位生产安全事故应急预案编制导则》（GB/T 29639-2013)4.4风险评估。</w:t>
            </w:r>
          </w:p>
          <w:p>
            <w:pPr>
              <w:widowControl/>
              <w:spacing w:line="22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6.《风险管理 原则与实施指南》（GB/T24353-2009）5.3风险评估。</w:t>
            </w:r>
          </w:p>
        </w:tc>
      </w:tr>
      <w:tr>
        <w:tblPrEx>
          <w:tblCellMar>
            <w:top w:w="0" w:type="dxa"/>
            <w:left w:w="108" w:type="dxa"/>
            <w:bottom w:w="0" w:type="dxa"/>
            <w:right w:w="108" w:type="dxa"/>
          </w:tblCellMar>
        </w:tblPrEx>
        <w:trPr>
          <w:trHeight w:val="749"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4</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情景构建</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运用情景构建技术，准确揭示本企业小概率、高后果的“巨灾事故”。</w:t>
            </w:r>
          </w:p>
        </w:tc>
        <w:tc>
          <w:tcPr>
            <w:tcW w:w="7654" w:type="dxa"/>
            <w:tcBorders>
              <w:top w:val="single" w:color="auto" w:sz="4" w:space="0"/>
              <w:left w:val="nil"/>
              <w:bottom w:val="single" w:color="auto" w:sz="4" w:space="0"/>
              <w:right w:val="single" w:color="auto" w:sz="4" w:space="0"/>
            </w:tcBorders>
            <w:shd w:val="clear" w:color="auto" w:fill="auto"/>
            <w:vAlign w:val="center"/>
          </w:tcPr>
          <w:p>
            <w:pPr>
              <w:widowControl/>
              <w:spacing w:line="22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《风险管理 风险评估技术》（GB/T27921-2011）附录B（资料性附录）风险评估技术B.4情景分析。</w:t>
            </w:r>
          </w:p>
        </w:tc>
      </w:tr>
    </w:tbl>
    <w:p>
      <w:pPr>
        <w:widowControl/>
        <w:jc w:val="left"/>
        <w:rPr>
          <w:rFonts w:ascii="楷体_GB2312" w:hAnsi="宋体" w:eastAsia="楷体_GB2312" w:cs="宋体"/>
          <w:color w:val="000000" w:themeColor="text1"/>
          <w:kern w:val="0"/>
          <w:szCs w:val="21"/>
          <w14:textFill>
            <w14:solidFill>
              <w14:schemeClr w14:val="tx1"/>
            </w14:solidFill>
          </w14:textFill>
        </w:rPr>
      </w:pPr>
    </w:p>
    <w:p>
      <w:pPr>
        <w:spacing w:line="560" w:lineRule="exact"/>
        <w:jc w:val="center"/>
        <w:rPr>
          <w:rFonts w:ascii="华文中宋" w:hAnsi="华文中宋" w:eastAsia="华文中宋" w:cs="宋体"/>
          <w:color w:val="000000" w:themeColor="text1"/>
          <w:kern w:val="0"/>
          <w:sz w:val="44"/>
          <w:szCs w:val="44"/>
          <w14:textFill>
            <w14:solidFill>
              <w14:schemeClr w14:val="tx1"/>
            </w14:solidFill>
          </w14:textFill>
        </w:rPr>
      </w:pPr>
      <w:r>
        <w:rPr>
          <w:rFonts w:hint="eastAsia" w:ascii="华文中宋" w:hAnsi="华文中宋" w:eastAsia="华文中宋" w:cs="宋体"/>
          <w:color w:val="000000" w:themeColor="text1"/>
          <w:kern w:val="0"/>
          <w:sz w:val="44"/>
          <w:szCs w:val="44"/>
          <w14:textFill>
            <w14:solidFill>
              <w14:schemeClr w14:val="tx1"/>
            </w14:solidFill>
          </w14:textFill>
        </w:rPr>
        <w:t>危险化学品企业生产安全事故应急准备工作表</w:t>
      </w:r>
    </w:p>
    <w:p>
      <w:pPr>
        <w:spacing w:line="560" w:lineRule="exact"/>
        <w:jc w:val="left"/>
        <w:rPr>
          <w:rFonts w:ascii="楷体_GB2312" w:hAnsi="宋体" w:eastAsia="楷体_GB2312" w:cs="宋体"/>
          <w:b/>
          <w:color w:val="000000" w:themeColor="text1"/>
          <w:kern w:val="0"/>
          <w:szCs w:val="21"/>
          <w14:textFill>
            <w14:solidFill>
              <w14:schemeClr w14:val="tx1"/>
            </w14:solidFill>
          </w14:textFill>
        </w:rPr>
      </w:pPr>
      <w:r>
        <w:rPr>
          <w:rFonts w:hint="eastAsia" w:ascii="楷体_GB2312" w:hAnsi="宋体" w:eastAsia="楷体_GB2312" w:cs="宋体"/>
          <w:b/>
          <w:color w:val="000000" w:themeColor="text1"/>
          <w:kern w:val="0"/>
          <w:szCs w:val="21"/>
          <w14:textFill>
            <w14:solidFill>
              <w14:schemeClr w14:val="tx1"/>
            </w14:solidFill>
          </w14:textFill>
        </w:rPr>
        <w:t>要素5：预案管理</w:t>
      </w:r>
    </w:p>
    <w:tbl>
      <w:tblPr>
        <w:tblStyle w:val="11"/>
        <w:tblW w:w="14034" w:type="dxa"/>
        <w:tblInd w:w="-318" w:type="dxa"/>
        <w:tblLayout w:type="fixed"/>
        <w:tblCellMar>
          <w:top w:w="0" w:type="dxa"/>
          <w:left w:w="108" w:type="dxa"/>
          <w:bottom w:w="0" w:type="dxa"/>
          <w:right w:w="108" w:type="dxa"/>
        </w:tblCellMar>
      </w:tblPr>
      <w:tblGrid>
        <w:gridCol w:w="710"/>
        <w:gridCol w:w="1137"/>
        <w:gridCol w:w="5950"/>
        <w:gridCol w:w="6237"/>
      </w:tblGrid>
      <w:tr>
        <w:tblPrEx>
          <w:tblCellMar>
            <w:top w:w="0" w:type="dxa"/>
            <w:left w:w="108" w:type="dxa"/>
            <w:bottom w:w="0" w:type="dxa"/>
            <w:right w:w="108" w:type="dxa"/>
          </w:tblCellMar>
        </w:tblPrEx>
        <w:trPr>
          <w:trHeight w:val="408"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序号</w:t>
            </w:r>
          </w:p>
        </w:tc>
        <w:tc>
          <w:tcPr>
            <w:tcW w:w="113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项目</w:t>
            </w:r>
          </w:p>
        </w:tc>
        <w:tc>
          <w:tcPr>
            <w:tcW w:w="59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内容</w:t>
            </w:r>
          </w:p>
        </w:tc>
        <w:tc>
          <w:tcPr>
            <w:tcW w:w="623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依据</w:t>
            </w:r>
          </w:p>
        </w:tc>
      </w:tr>
      <w:tr>
        <w:tblPrEx>
          <w:tblCellMar>
            <w:top w:w="0" w:type="dxa"/>
            <w:left w:w="108" w:type="dxa"/>
            <w:bottom w:w="0" w:type="dxa"/>
            <w:right w:w="108" w:type="dxa"/>
          </w:tblCellMar>
        </w:tblPrEx>
        <w:trPr>
          <w:trHeight w:val="1749" w:hRule="atLeast"/>
        </w:trPr>
        <w:tc>
          <w:tcPr>
            <w:tcW w:w="710" w:type="dxa"/>
            <w:vMerge w:val="restart"/>
            <w:tcBorders>
              <w:top w:val="nil"/>
              <w:left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w:t>
            </w:r>
          </w:p>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1137" w:type="dxa"/>
            <w:vMerge w:val="restart"/>
            <w:tcBorders>
              <w:top w:val="nil"/>
              <w:left w:val="nil"/>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预案编制</w:t>
            </w:r>
          </w:p>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5950"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1.企业应成立应急预案编制工作小组：由本单位有关负责人任组长，吸收与应急预案有关的职能部门和单位的人员，以及有现场处置经验的人员、专家参加。</w:t>
            </w:r>
          </w:p>
        </w:tc>
        <w:tc>
          <w:tcPr>
            <w:tcW w:w="6237"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1.《中华人民共和国安全生产法》第十八条、第二十二条。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2.《生产安全事故应急预案管理办法》（国家安全生产监督管理总局令第88号，根据应急管理部令第2号修正）第九条、第三十五条 。</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3.《生产经营单位生产安全事故应急预案评估指南》（</w:t>
            </w:r>
            <w:r>
              <w:rPr>
                <w:rFonts w:ascii="楷体_GB2312" w:hAnsi="宋体" w:eastAsia="楷体_GB2312" w:cs="宋体"/>
                <w:color w:val="000000" w:themeColor="text1"/>
                <w:kern w:val="0"/>
                <w:szCs w:val="21"/>
                <w14:textFill>
                  <w14:solidFill>
                    <w14:schemeClr w14:val="tx1"/>
                  </w14:solidFill>
                </w14:textFill>
              </w:rPr>
              <w:t>AQ</w:t>
            </w:r>
            <w:r>
              <w:rPr>
                <w:rFonts w:hint="eastAsia" w:ascii="楷体_GB2312" w:hAnsi="宋体" w:eastAsia="楷体_GB2312" w:cs="宋体"/>
                <w:color w:val="000000" w:themeColor="text1"/>
                <w:kern w:val="0"/>
                <w:szCs w:val="21"/>
                <w14:textFill>
                  <w14:solidFill>
                    <w14:schemeClr w14:val="tx1"/>
                  </w14:solidFill>
                </w14:textFill>
              </w:rPr>
              <w:t>/T 9011</w:t>
            </w:r>
            <w:r>
              <w:rPr>
                <w:rFonts w:ascii="楷体_GB2312" w:hAnsi="宋体" w:eastAsia="楷体_GB2312" w:cs="宋体"/>
                <w:color w:val="000000" w:themeColor="text1"/>
                <w:kern w:val="0"/>
                <w:szCs w:val="21"/>
                <w14:textFill>
                  <w14:solidFill>
                    <w14:schemeClr w14:val="tx1"/>
                  </w14:solidFill>
                </w14:textFill>
              </w:rPr>
              <w:t>—</w:t>
            </w:r>
            <w:r>
              <w:rPr>
                <w:rFonts w:hint="eastAsia" w:ascii="楷体_GB2312" w:hAnsi="宋体" w:eastAsia="楷体_GB2312" w:cs="宋体"/>
                <w:color w:val="000000" w:themeColor="text1"/>
                <w:kern w:val="0"/>
                <w:szCs w:val="21"/>
                <w14:textFill>
                  <w14:solidFill>
                    <w14:schemeClr w14:val="tx1"/>
                  </w14:solidFill>
                </w14:textFill>
              </w:rPr>
              <w:t>2019）5.1。</w:t>
            </w:r>
          </w:p>
        </w:tc>
      </w:tr>
      <w:tr>
        <w:tblPrEx>
          <w:tblCellMar>
            <w:top w:w="0" w:type="dxa"/>
            <w:left w:w="108" w:type="dxa"/>
            <w:bottom w:w="0" w:type="dxa"/>
            <w:right w:w="108" w:type="dxa"/>
          </w:tblCellMar>
        </w:tblPrEx>
        <w:trPr>
          <w:trHeight w:val="1111" w:hRule="atLeast"/>
        </w:trPr>
        <w:tc>
          <w:tcPr>
            <w:tcW w:w="710" w:type="dxa"/>
            <w:vMerge w:val="continue"/>
            <w:tcBorders>
              <w:left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1137" w:type="dxa"/>
            <w:vMerge w:val="continue"/>
            <w:tcBorders>
              <w:left w:val="nil"/>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5950"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2.确定应急预案编制原则与要点：应当遵循以人为本、依法依规、符合实际、注重实效的原则，以应急处置为核心，明确应急职责，规范应急程序，细化保障措施。</w:t>
            </w:r>
          </w:p>
        </w:tc>
        <w:tc>
          <w:tcPr>
            <w:tcW w:w="6237"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《生产安全事故应急预案管理办法》（国家安全生产监督管理总局令第88号，根据应急管理部令第2号修正）第七条。</w:t>
            </w:r>
          </w:p>
        </w:tc>
      </w:tr>
      <w:tr>
        <w:tblPrEx>
          <w:tblCellMar>
            <w:top w:w="0" w:type="dxa"/>
            <w:left w:w="108" w:type="dxa"/>
            <w:bottom w:w="0" w:type="dxa"/>
            <w:right w:w="108" w:type="dxa"/>
          </w:tblCellMar>
        </w:tblPrEx>
        <w:trPr>
          <w:trHeight w:val="3753" w:hRule="atLeast"/>
        </w:trPr>
        <w:tc>
          <w:tcPr>
            <w:tcW w:w="710"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1137" w:type="dxa"/>
            <w:vMerge w:val="continue"/>
            <w:tcBorders>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5950"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3.应急预案的编制应当符合下列基本要求：</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（1）有关法律、法规、规章和标准的规定；</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（2）本地区、本部门、本单位的安全生产实际情况；</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（3）本地区、本部门、本单位的危险性分析情况；</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（4）应急组织和人员的职责分工明确，并有具体的落实措施；</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（5）有明确、具体的应急程序和处置措施，并与其应急能力相适应；</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（6）有明确的应急保障措施，满足本地区、本部门、本单位的应急工作需要；</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（7）应急预案基本要素齐全、完整，应急预案附件提供的信息准确；</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（8）应急预案内容与相关应急预案相互衔接。</w:t>
            </w:r>
          </w:p>
        </w:tc>
        <w:tc>
          <w:tcPr>
            <w:tcW w:w="6237"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《生产安全事故应急预案管理办法》（国家安全生产监督管理总局令第88号，根据应急管理部令第2号修正）第八条。</w:t>
            </w:r>
          </w:p>
        </w:tc>
      </w:tr>
    </w:tbl>
    <w:p>
      <w:pPr>
        <w:spacing w:line="560" w:lineRule="exact"/>
        <w:jc w:val="left"/>
        <w:rPr>
          <w:rFonts w:ascii="仿宋_GB2312" w:hAnsi="宋体" w:eastAsia="仿宋_GB2312"/>
          <w:color w:val="000000" w:themeColor="text1"/>
          <w:sz w:val="32"/>
          <w:szCs w:val="32"/>
          <w14:textFill>
            <w14:solidFill>
              <w14:schemeClr w14:val="tx1"/>
            </w14:solidFill>
          </w14:textFill>
        </w:rPr>
      </w:pPr>
    </w:p>
    <w:p>
      <w:pPr>
        <w:spacing w:line="560" w:lineRule="exact"/>
        <w:jc w:val="left"/>
        <w:rPr>
          <w:rFonts w:ascii="仿宋_GB2312" w:hAnsi="宋体" w:eastAsia="仿宋_GB2312"/>
          <w:color w:val="000000" w:themeColor="text1"/>
          <w:sz w:val="32"/>
          <w:szCs w:val="32"/>
          <w14:textFill>
            <w14:solidFill>
              <w14:schemeClr w14:val="tx1"/>
            </w14:solidFill>
          </w14:textFill>
        </w:rPr>
      </w:pPr>
      <w:r>
        <w:rPr>
          <w:rFonts w:hint="eastAsia" w:ascii="楷体_GB2312" w:hAnsi="宋体" w:eastAsia="楷体_GB2312" w:cs="宋体"/>
          <w:b/>
          <w:color w:val="000000" w:themeColor="text1"/>
          <w:kern w:val="0"/>
          <w:szCs w:val="21"/>
          <w14:textFill>
            <w14:solidFill>
              <w14:schemeClr w14:val="tx1"/>
            </w14:solidFill>
          </w14:textFill>
        </w:rPr>
        <w:t>要素5：预案管理（续）</w:t>
      </w:r>
    </w:p>
    <w:tbl>
      <w:tblPr>
        <w:tblStyle w:val="11"/>
        <w:tblW w:w="14034"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134"/>
        <w:gridCol w:w="5953"/>
        <w:gridCol w:w="6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10" w:type="dxa"/>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序号</w:t>
            </w:r>
          </w:p>
        </w:tc>
        <w:tc>
          <w:tcPr>
            <w:tcW w:w="1134" w:type="dxa"/>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项目</w:t>
            </w:r>
          </w:p>
        </w:tc>
        <w:tc>
          <w:tcPr>
            <w:tcW w:w="5953" w:type="dxa"/>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内容</w:t>
            </w:r>
          </w:p>
        </w:tc>
        <w:tc>
          <w:tcPr>
            <w:tcW w:w="6237" w:type="dxa"/>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710" w:type="dxa"/>
            <w:vMerge w:val="restart"/>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w:t>
            </w:r>
          </w:p>
        </w:tc>
        <w:tc>
          <w:tcPr>
            <w:tcW w:w="1134" w:type="dxa"/>
            <w:vMerge w:val="restart"/>
            <w:shd w:val="clear" w:color="auto" w:fill="auto"/>
            <w:vAlign w:val="center"/>
          </w:tcPr>
          <w:p>
            <w:pPr>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预案编制</w:t>
            </w:r>
          </w:p>
        </w:tc>
        <w:tc>
          <w:tcPr>
            <w:tcW w:w="5953" w:type="dxa"/>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4.编制单位应当进行风险评估和应急资源调查。</w:t>
            </w:r>
          </w:p>
        </w:tc>
        <w:tc>
          <w:tcPr>
            <w:tcW w:w="6237" w:type="dxa"/>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《生产安全事故应急预案管理办法》（国家安全生产监督管理总局令第88号，根据应急管理部令第2号修正） 第十条。</w:t>
            </w:r>
            <w:r>
              <w:rPr>
                <w:rFonts w:hint="eastAsia" w:ascii="楷体_GB2312" w:hAnsi="宋体" w:eastAsia="楷体_GB2312" w:cs="宋体"/>
                <w:color w:val="000000" w:themeColor="text1"/>
                <w:kern w:val="0"/>
                <w:szCs w:val="21"/>
                <w14:textFill>
                  <w14:solidFill>
                    <w14:schemeClr w14:val="tx1"/>
                  </w14:solidFill>
                </w14:textFill>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2" w:hRule="atLeast"/>
        </w:trPr>
        <w:tc>
          <w:tcPr>
            <w:tcW w:w="710" w:type="dxa"/>
            <w:vMerge w:val="continue"/>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1134" w:type="dxa"/>
            <w:vMerge w:val="continue"/>
            <w:shd w:val="clear" w:color="auto" w:fill="auto"/>
            <w:vAlign w:val="center"/>
          </w:tcPr>
          <w:p>
            <w:pPr>
              <w:jc w:val="center"/>
              <w:rPr>
                <w:rFonts w:ascii="楷体_GB2312" w:hAnsi="宋体" w:eastAsia="楷体_GB2312" w:cs="宋体"/>
                <w:color w:val="000000" w:themeColor="text1"/>
                <w:kern w:val="0"/>
                <w:szCs w:val="21"/>
                <w14:textFill>
                  <w14:solidFill>
                    <w14:schemeClr w14:val="tx1"/>
                  </w14:solidFill>
                </w14:textFill>
              </w:rPr>
            </w:pPr>
          </w:p>
        </w:tc>
        <w:tc>
          <w:tcPr>
            <w:tcW w:w="5953" w:type="dxa"/>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5.应急预案体系应包括综合应急预案、专项应急预案、现场处置方案。</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生产经营单位风险种类多、可能发生多种类型事故的，应当组织编制综合应急预案。对于某一种或者多种类型的事故风险，生产经营单位可以编制相应的专项应急预案，或将专项应急预案并入综合应急预案；</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（2）对于危险性较大的场所、装置或者设施，生产经营单位应当编制现场处置方案。事故风险单一、危险性小的生产经营单位，可以只编制现场处置方案；</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（3）生产经营单位应当在编制应急预案的基础上，针对工作场所、岗位的特点，编制简明、实用、有效的应急处置卡，并便于从业人员携带。</w:t>
            </w:r>
          </w:p>
        </w:tc>
        <w:tc>
          <w:tcPr>
            <w:tcW w:w="6237" w:type="dxa"/>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1.《生产安全事故应急预案管理办法》（国家安全生产监督管理总局令第88号，根据应急管理部令第2号修正）第六条、第十三条、第十四条、第十五条、第十九条。</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2.《国家安全监管总局关于加强科学施救提高生产安全事故灾难应急救援水平的指导意见》（安监总应急〔2012〕147号）（十四）加强应急预案与演练工作。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trPr>
        <w:tc>
          <w:tcPr>
            <w:tcW w:w="710" w:type="dxa"/>
            <w:vMerge w:val="continue"/>
            <w:shd w:val="clear" w:color="auto" w:fill="auto"/>
            <w:vAlign w:val="center"/>
          </w:tcPr>
          <w:p>
            <w:pPr>
              <w:jc w:val="center"/>
              <w:rPr>
                <w:rFonts w:ascii="楷体_GB2312" w:hAnsi="宋体" w:eastAsia="楷体_GB2312" w:cs="宋体"/>
                <w:color w:val="000000" w:themeColor="text1"/>
                <w:kern w:val="0"/>
                <w:szCs w:val="21"/>
                <w14:textFill>
                  <w14:solidFill>
                    <w14:schemeClr w14:val="tx1"/>
                  </w14:solidFill>
                </w14:textFill>
              </w:rPr>
            </w:pPr>
          </w:p>
        </w:tc>
        <w:tc>
          <w:tcPr>
            <w:tcW w:w="1134" w:type="dxa"/>
            <w:vMerge w:val="continue"/>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5953" w:type="dxa"/>
            <w:shd w:val="clear" w:color="auto" w:fill="auto"/>
            <w:vAlign w:val="center"/>
          </w:tcPr>
          <w:p>
            <w:pPr>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6.生产安全事故应急预案的编制程序、体系构成以及综合应急预案、专项应急预案、现场处置方案和附件的主要内容应符合有关要求。</w:t>
            </w:r>
          </w:p>
        </w:tc>
        <w:tc>
          <w:tcPr>
            <w:tcW w:w="6237" w:type="dxa"/>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1.《生产安全事故应急预案管理办法》（国家安全生产监督管理总局令第88号，根据应急管理部令第2号修正）第十二条、第十三条、第十四条、第十五条、第十六条、第十九条。</w:t>
            </w:r>
          </w:p>
          <w:p>
            <w:pP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2.《生产经营单位生产安全事故应急预案编制导则》（GB/T 29639-2013)  5 应急预案体系、6 综合应急预案主要内容、7 专项应急预案主要内容、8 现场处置方案主要内容。</w:t>
            </w:r>
          </w:p>
        </w:tc>
      </w:tr>
    </w:tbl>
    <w:p>
      <w:pPr>
        <w:spacing w:line="560" w:lineRule="exact"/>
        <w:jc w:val="left"/>
        <w:rPr>
          <w:rFonts w:ascii="楷体_GB2312" w:hAnsi="宋体" w:eastAsia="楷体_GB2312" w:cs="宋体"/>
          <w:b/>
          <w:color w:val="000000" w:themeColor="text1"/>
          <w:kern w:val="0"/>
          <w:szCs w:val="21"/>
          <w14:textFill>
            <w14:solidFill>
              <w14:schemeClr w14:val="tx1"/>
            </w14:solidFill>
          </w14:textFill>
        </w:rPr>
      </w:pPr>
    </w:p>
    <w:p>
      <w:pPr>
        <w:widowControl/>
        <w:jc w:val="left"/>
        <w:rPr>
          <w:rFonts w:ascii="仿宋_GB2312" w:hAnsi="宋体" w:eastAsia="仿宋_GB2312"/>
          <w:color w:val="000000" w:themeColor="text1"/>
          <w:sz w:val="32"/>
          <w:szCs w:val="32"/>
          <w14:textFill>
            <w14:solidFill>
              <w14:schemeClr w14:val="tx1"/>
            </w14:solidFill>
          </w14:textFill>
        </w:rPr>
      </w:pPr>
      <w:r>
        <w:rPr>
          <w:rFonts w:hint="eastAsia" w:ascii="楷体_GB2312" w:hAnsi="宋体" w:eastAsia="楷体_GB2312" w:cs="宋体"/>
          <w:b/>
          <w:color w:val="000000" w:themeColor="text1"/>
          <w:kern w:val="0"/>
          <w:szCs w:val="21"/>
          <w14:textFill>
            <w14:solidFill>
              <w14:schemeClr w14:val="tx1"/>
            </w14:solidFill>
          </w14:textFill>
        </w:rPr>
        <w:t>要素5：预案管理（续）</w:t>
      </w:r>
    </w:p>
    <w:tbl>
      <w:tblPr>
        <w:tblStyle w:val="11"/>
        <w:tblW w:w="14034" w:type="dxa"/>
        <w:tblInd w:w="-318" w:type="dxa"/>
        <w:tblLayout w:type="fixed"/>
        <w:tblCellMar>
          <w:top w:w="0" w:type="dxa"/>
          <w:left w:w="108" w:type="dxa"/>
          <w:bottom w:w="0" w:type="dxa"/>
          <w:right w:w="108" w:type="dxa"/>
        </w:tblCellMar>
      </w:tblPr>
      <w:tblGrid>
        <w:gridCol w:w="710"/>
        <w:gridCol w:w="1137"/>
        <w:gridCol w:w="6099"/>
        <w:gridCol w:w="6088"/>
      </w:tblGrid>
      <w:tr>
        <w:tblPrEx>
          <w:tblCellMar>
            <w:top w:w="0" w:type="dxa"/>
            <w:left w:w="108" w:type="dxa"/>
            <w:bottom w:w="0" w:type="dxa"/>
            <w:right w:w="108" w:type="dxa"/>
          </w:tblCellMar>
        </w:tblPrEx>
        <w:trPr>
          <w:trHeight w:val="416"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序号</w:t>
            </w:r>
          </w:p>
        </w:tc>
        <w:tc>
          <w:tcPr>
            <w:tcW w:w="113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项目</w:t>
            </w:r>
          </w:p>
        </w:tc>
        <w:tc>
          <w:tcPr>
            <w:tcW w:w="609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内容</w:t>
            </w:r>
          </w:p>
        </w:tc>
        <w:tc>
          <w:tcPr>
            <w:tcW w:w="608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依据</w:t>
            </w:r>
          </w:p>
        </w:tc>
      </w:tr>
      <w:tr>
        <w:tblPrEx>
          <w:tblCellMar>
            <w:top w:w="0" w:type="dxa"/>
            <w:left w:w="108" w:type="dxa"/>
            <w:bottom w:w="0" w:type="dxa"/>
            <w:right w:w="108" w:type="dxa"/>
          </w:tblCellMar>
        </w:tblPrEx>
        <w:trPr>
          <w:trHeight w:val="1747" w:hRule="atLeast"/>
        </w:trPr>
        <w:tc>
          <w:tcPr>
            <w:tcW w:w="710" w:type="dxa"/>
            <w:vMerge w:val="restart"/>
            <w:tcBorders>
              <w:top w:val="nil"/>
              <w:left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w:t>
            </w:r>
          </w:p>
        </w:tc>
        <w:tc>
          <w:tcPr>
            <w:tcW w:w="1137" w:type="dxa"/>
            <w:vMerge w:val="restart"/>
            <w:tcBorders>
              <w:top w:val="nil"/>
              <w:left w:val="nil"/>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预案编制</w:t>
            </w:r>
          </w:p>
        </w:tc>
        <w:tc>
          <w:tcPr>
            <w:tcW w:w="6099"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7.预案附件。</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（1）应急预案附件内容至少包括通讯录、应急物资装备清单、规范化格式文本、关键的路线、标识和图纸、有关协议或备忘录等信息；</w:t>
            </w:r>
          </w:p>
          <w:p>
            <w:pPr>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（2）附件信息发生变化时，应当及时更新，确保准确有效。</w:t>
            </w:r>
          </w:p>
        </w:tc>
        <w:tc>
          <w:tcPr>
            <w:tcW w:w="6088"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1.《生产安全事故应急预案管理办法》（国家安全生产监督管理总局令第88号，根据应急管理部令第2号修正）第十六条。</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2.《生产经营单位生产安全事故应急预案编制导则》（GB/T 29639-2013)9附件。</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3.《生产经营单位生产安全事故应急预案评审指南》（安监总厅应急〔2009〕73号） 附件5。</w:t>
            </w:r>
          </w:p>
        </w:tc>
      </w:tr>
      <w:tr>
        <w:tblPrEx>
          <w:tblCellMar>
            <w:top w:w="0" w:type="dxa"/>
            <w:left w:w="108" w:type="dxa"/>
            <w:bottom w:w="0" w:type="dxa"/>
            <w:right w:w="108" w:type="dxa"/>
          </w:tblCellMar>
        </w:tblPrEx>
        <w:trPr>
          <w:trHeight w:val="1866" w:hRule="atLeast"/>
        </w:trPr>
        <w:tc>
          <w:tcPr>
            <w:tcW w:w="710"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1137" w:type="dxa"/>
            <w:vMerge w:val="continue"/>
            <w:tcBorders>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6099"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8.预案衔接。各类应急预案之间应当相互衔接，并与相关人民政府及其部门、应急救援队伍和涉及的其他单位的应急预案相衔接。</w:t>
            </w:r>
          </w:p>
        </w:tc>
        <w:tc>
          <w:tcPr>
            <w:tcW w:w="6088" w:type="dxa"/>
            <w:tcBorders>
              <w:top w:val="nil"/>
              <w:left w:val="nil"/>
              <w:bottom w:val="single" w:color="auto" w:sz="4" w:space="0"/>
              <w:right w:val="single" w:color="auto" w:sz="4" w:space="0"/>
            </w:tcBorders>
            <w:shd w:val="clear" w:color="auto" w:fill="auto"/>
            <w:vAlign w:val="center"/>
          </w:tcPr>
          <w:p>
            <w:pPr>
              <w:widowControl/>
              <w:spacing w:line="22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1.《国务院关于进一步加强企业安全生产工作的通知》17.完善企业应急预案。</w:t>
            </w:r>
          </w:p>
          <w:p>
            <w:pPr>
              <w:widowControl/>
              <w:spacing w:line="22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2.《中华人民共和国安全生产法》第七十八条。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3.《生产安全事故应急预案管理办法》（国家安全生产监督管理总局令第88号，根据应急管理部令第2号修正）第八条、 第十八条。</w:t>
            </w:r>
          </w:p>
          <w:p>
            <w:pPr>
              <w:widowControl/>
              <w:spacing w:line="22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4.《中央企业应急管理暂行办法》（国务院国有资产监督管理委员会令</w:t>
            </w:r>
            <w:r>
              <w:rPr>
                <w:rFonts w:ascii="楷体_GB2312" w:hAnsi="宋体" w:eastAsia="楷体_GB2312" w:cs="宋体"/>
                <w:color w:val="000000" w:themeColor="text1"/>
                <w:kern w:val="0"/>
                <w:szCs w:val="21"/>
                <w14:textFill>
                  <w14:solidFill>
                    <w14:schemeClr w14:val="tx1"/>
                  </w14:solidFill>
                </w14:textFill>
              </w:rPr>
              <w:t>31号）</w:t>
            </w:r>
            <w:r>
              <w:rPr>
                <w:rFonts w:hint="eastAsia" w:ascii="楷体_GB2312" w:hAnsi="宋体" w:eastAsia="楷体_GB2312" w:cs="宋体"/>
                <w:color w:val="000000" w:themeColor="text1"/>
                <w:kern w:val="0"/>
                <w:szCs w:val="21"/>
                <w14:textFill>
                  <w14:solidFill>
                    <w14:schemeClr w14:val="tx1"/>
                  </w14:solidFill>
                </w14:textFill>
              </w:rPr>
              <w:t>第十四条。</w:t>
            </w:r>
          </w:p>
        </w:tc>
      </w:tr>
      <w:tr>
        <w:tblPrEx>
          <w:tblCellMar>
            <w:top w:w="0" w:type="dxa"/>
            <w:left w:w="108" w:type="dxa"/>
            <w:bottom w:w="0" w:type="dxa"/>
            <w:right w:w="108" w:type="dxa"/>
          </w:tblCellMar>
        </w:tblPrEx>
        <w:trPr>
          <w:trHeight w:val="706" w:hRule="atLeast"/>
        </w:trPr>
        <w:tc>
          <w:tcPr>
            <w:tcW w:w="710"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w:t>
            </w:r>
          </w:p>
        </w:tc>
        <w:tc>
          <w:tcPr>
            <w:tcW w:w="1137" w:type="dxa"/>
            <w:vMerge w:val="restar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预案管理</w:t>
            </w:r>
          </w:p>
        </w:tc>
        <w:tc>
          <w:tcPr>
            <w:tcW w:w="609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1.预案评审。对本单位编制的应急预案进行评审，并形成书面评审纪要。</w:t>
            </w:r>
          </w:p>
        </w:tc>
        <w:tc>
          <w:tcPr>
            <w:tcW w:w="6088"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《生产安全事故应急预案管理办法》（国家安全生产监督管理总局令第88号，根据应急管理部令第2号修正） 第二十一条。</w:t>
            </w:r>
          </w:p>
        </w:tc>
      </w:tr>
      <w:tr>
        <w:tblPrEx>
          <w:tblCellMar>
            <w:top w:w="0" w:type="dxa"/>
            <w:left w:w="108" w:type="dxa"/>
            <w:bottom w:w="0" w:type="dxa"/>
            <w:right w:w="108" w:type="dxa"/>
          </w:tblCellMar>
        </w:tblPrEx>
        <w:trPr>
          <w:trHeight w:val="1177" w:hRule="atLeast"/>
        </w:trPr>
        <w:tc>
          <w:tcPr>
            <w:tcW w:w="710" w:type="dxa"/>
            <w:vMerge w:val="continue"/>
            <w:tcBorders>
              <w:left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1137" w:type="dxa"/>
            <w:vMerge w:val="continue"/>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609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2.预案评审人员要求。</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（1）评审人员应当包括有关安全生产及应急管理方面的专家；</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（2）评审人员与所评审应急预案的生产经营单位有利害关系的，应当回避。</w:t>
            </w:r>
          </w:p>
        </w:tc>
        <w:tc>
          <w:tcPr>
            <w:tcW w:w="6088"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《生产安全事故应急预案管理办法》（国家安全生产监督管理总局令第88号，根据应急管理部令第2号修正） 第二十二条。</w:t>
            </w:r>
          </w:p>
        </w:tc>
      </w:tr>
      <w:tr>
        <w:tblPrEx>
          <w:tblCellMar>
            <w:top w:w="0" w:type="dxa"/>
            <w:left w:w="108" w:type="dxa"/>
            <w:bottom w:w="0" w:type="dxa"/>
            <w:right w:w="108" w:type="dxa"/>
          </w:tblCellMar>
        </w:tblPrEx>
        <w:trPr>
          <w:trHeight w:val="90" w:hRule="atLeast"/>
        </w:trPr>
        <w:tc>
          <w:tcPr>
            <w:tcW w:w="710"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1137" w:type="dxa"/>
            <w:vMerge w:val="continue"/>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609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3.预案签署、公布与发放。</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（1）应急预案由本单位主要负责人签署；</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（2）向本单位人员公布；</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（3）应急预案发放至本单位有关部门、岗位和相关应急救援队伍；</w:t>
            </w:r>
          </w:p>
          <w:p>
            <w:pPr>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（4）事故风险可能影响周边其他单位、人员的，生产经营单位应当将有关事故风险的性质、影响范围和应急防范措施告知周边的其他单位和人员。</w:t>
            </w:r>
          </w:p>
        </w:tc>
        <w:tc>
          <w:tcPr>
            <w:tcW w:w="6088"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1.《生产安全事故应急条例》第五条。</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2.《生产安全事故应急预案管理办法》（国家安全生产监督管理总局令第88号，根据应急管理部令第2号修正） 第二十四条。</w:t>
            </w:r>
            <w:r>
              <w:rPr>
                <w:rFonts w:hint="eastAsia" w:ascii="楷体_GB2312" w:hAnsi="宋体" w:eastAsia="楷体_GB2312" w:cs="宋体"/>
                <w:color w:val="000000" w:themeColor="text1"/>
                <w:kern w:val="0"/>
                <w:szCs w:val="21"/>
                <w14:textFill>
                  <w14:solidFill>
                    <w14:schemeClr w14:val="tx1"/>
                  </w14:solidFill>
                </w14:textFill>
              </w:rPr>
              <w:br w:type="textWrapping"/>
            </w:r>
          </w:p>
        </w:tc>
      </w:tr>
    </w:tbl>
    <w:p>
      <w:pPr>
        <w:widowControl/>
        <w:jc w:val="left"/>
        <w:rPr>
          <w:rFonts w:ascii="楷体_GB2312" w:hAnsi="宋体" w:eastAsia="楷体_GB2312" w:cs="宋体"/>
          <w:b/>
          <w:color w:val="000000" w:themeColor="text1"/>
          <w:kern w:val="0"/>
          <w:szCs w:val="21"/>
          <w14:textFill>
            <w14:solidFill>
              <w14:schemeClr w14:val="tx1"/>
            </w14:solidFill>
          </w14:textFill>
        </w:rPr>
      </w:pPr>
      <w:r>
        <w:rPr>
          <w:rFonts w:ascii="仿宋_GB2312" w:hAnsi="宋体" w:eastAsia="仿宋_GB2312"/>
          <w:color w:val="000000" w:themeColor="text1"/>
          <w:sz w:val="32"/>
          <w:szCs w:val="32"/>
          <w14:textFill>
            <w14:solidFill>
              <w14:schemeClr w14:val="tx1"/>
            </w14:solidFill>
          </w14:textFill>
        </w:rPr>
        <w:br w:type="page"/>
      </w:r>
      <w:r>
        <w:rPr>
          <w:rFonts w:hint="eastAsia" w:ascii="楷体_GB2312" w:hAnsi="宋体" w:eastAsia="楷体_GB2312" w:cs="宋体"/>
          <w:b/>
          <w:color w:val="000000" w:themeColor="text1"/>
          <w:kern w:val="0"/>
          <w:szCs w:val="21"/>
          <w14:textFill>
            <w14:solidFill>
              <w14:schemeClr w14:val="tx1"/>
            </w14:solidFill>
          </w14:textFill>
        </w:rPr>
        <w:t>要素5：预案管理（续）</w:t>
      </w:r>
    </w:p>
    <w:tbl>
      <w:tblPr>
        <w:tblStyle w:val="11"/>
        <w:tblW w:w="14034" w:type="dxa"/>
        <w:tblInd w:w="-318" w:type="dxa"/>
        <w:tblLayout w:type="fixed"/>
        <w:tblCellMar>
          <w:top w:w="0" w:type="dxa"/>
          <w:left w:w="108" w:type="dxa"/>
          <w:bottom w:w="0" w:type="dxa"/>
          <w:right w:w="108" w:type="dxa"/>
        </w:tblCellMar>
      </w:tblPr>
      <w:tblGrid>
        <w:gridCol w:w="710"/>
        <w:gridCol w:w="1137"/>
        <w:gridCol w:w="6944"/>
        <w:gridCol w:w="5243"/>
      </w:tblGrid>
      <w:tr>
        <w:tblPrEx>
          <w:tblCellMar>
            <w:top w:w="0" w:type="dxa"/>
            <w:left w:w="108" w:type="dxa"/>
            <w:bottom w:w="0" w:type="dxa"/>
            <w:right w:w="108" w:type="dxa"/>
          </w:tblCellMar>
        </w:tblPrEx>
        <w:trPr>
          <w:trHeight w:val="408"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序号</w:t>
            </w:r>
          </w:p>
        </w:tc>
        <w:tc>
          <w:tcPr>
            <w:tcW w:w="113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项目</w:t>
            </w:r>
          </w:p>
        </w:tc>
        <w:tc>
          <w:tcPr>
            <w:tcW w:w="694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内容</w:t>
            </w:r>
          </w:p>
        </w:tc>
        <w:tc>
          <w:tcPr>
            <w:tcW w:w="52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依据</w:t>
            </w:r>
          </w:p>
        </w:tc>
      </w:tr>
      <w:tr>
        <w:tblPrEx>
          <w:tblCellMar>
            <w:top w:w="0" w:type="dxa"/>
            <w:left w:w="108" w:type="dxa"/>
            <w:bottom w:w="0" w:type="dxa"/>
            <w:right w:w="108" w:type="dxa"/>
          </w:tblCellMar>
        </w:tblPrEx>
        <w:trPr>
          <w:trHeight w:val="2133" w:hRule="atLeast"/>
        </w:trPr>
        <w:tc>
          <w:tcPr>
            <w:tcW w:w="710"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w:t>
            </w:r>
          </w:p>
        </w:tc>
        <w:tc>
          <w:tcPr>
            <w:tcW w:w="1137" w:type="dxa"/>
            <w:vMerge w:val="restart"/>
            <w:tcBorders>
              <w:top w:val="single" w:color="auto" w:sz="4" w:space="0"/>
              <w:left w:val="nil"/>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预案管理</w:t>
            </w:r>
          </w:p>
        </w:tc>
        <w:tc>
          <w:tcPr>
            <w:tcW w:w="694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4.预案备案。</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w:t>
            </w:r>
            <w:r>
              <w:rPr>
                <w:rFonts w:ascii="楷体_GB2312" w:hAnsi="宋体" w:eastAsia="楷体_GB2312" w:cs="宋体"/>
                <w:color w:val="000000" w:themeColor="text1"/>
                <w:kern w:val="0"/>
                <w:szCs w:val="21"/>
                <w14:textFill>
                  <w14:solidFill>
                    <w14:schemeClr w14:val="tx1"/>
                  </w14:solidFill>
                </w14:textFill>
              </w:rPr>
              <w:t>在应急预案公布之日起20个工作日内，按照分级属地原则，向县级以上人民政府应急管理部门和其他负有安全生产监督管理职责的部门进行备案，并依法向社会公布</w:t>
            </w:r>
            <w:r>
              <w:rPr>
                <w:rFonts w:hint="eastAsia" w:ascii="楷体_GB2312" w:hAnsi="宋体" w:eastAsia="楷体_GB2312" w:cs="宋体"/>
                <w:color w:val="000000" w:themeColor="text1"/>
                <w:kern w:val="0"/>
                <w:szCs w:val="21"/>
                <w14:textFill>
                  <w14:solidFill>
                    <w14:schemeClr w14:val="tx1"/>
                  </w14:solidFill>
                </w14:textFill>
              </w:rPr>
              <w:t>；</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（2）应急预案修订后，按照有关应急预案报备程序重新备案。</w:t>
            </w:r>
          </w:p>
        </w:tc>
        <w:tc>
          <w:tcPr>
            <w:tcW w:w="524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1.《危险化学品安全管理条例》第七十条。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2.《生产安全事故应急条例》第七条。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3.《生产安全事故应急预案管理办法》（国家安全生产监督管理总局令第88号，根据应急管理部令第2号修正）第二十六条、第三十七条。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4.《危险化学品生产企业安全生产许可证实施办法》（国家安全监管总局令第41号，根据国家安全监管总局令第89号修正）第二十一条。</w:t>
            </w:r>
          </w:p>
        </w:tc>
      </w:tr>
      <w:tr>
        <w:tblPrEx>
          <w:tblCellMar>
            <w:top w:w="0" w:type="dxa"/>
            <w:left w:w="108" w:type="dxa"/>
            <w:bottom w:w="0" w:type="dxa"/>
            <w:right w:w="108" w:type="dxa"/>
          </w:tblCellMar>
        </w:tblPrEx>
        <w:trPr>
          <w:trHeight w:val="2059" w:hRule="atLeast"/>
        </w:trPr>
        <w:tc>
          <w:tcPr>
            <w:tcW w:w="710" w:type="dxa"/>
            <w:vMerge w:val="continue"/>
            <w:tcBorders>
              <w:left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1137" w:type="dxa"/>
            <w:vMerge w:val="continue"/>
            <w:tcBorders>
              <w:left w:val="nil"/>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694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5.预案评估。</w:t>
            </w:r>
          </w:p>
          <w:p>
            <w:pPr>
              <w:widowControl/>
              <w:spacing w:line="24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（1）应急预案应每三年进行一次评估；</w:t>
            </w:r>
          </w:p>
          <w:p>
            <w:pPr>
              <w:widowControl/>
              <w:spacing w:line="24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（2）结合本单位部门职能和分工，成立以单位相关负责人为组长，单位相关部门人员参加的应急预案评估组，明确工作职责和任务分工，制定工作方案。评估组成员人数一般为单数;</w:t>
            </w:r>
          </w:p>
          <w:p>
            <w:pPr>
              <w:widowControl/>
              <w:spacing w:line="24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w:t>
            </w:r>
            <w:r>
              <w:rPr>
                <w:rFonts w:ascii="楷体_GB2312" w:hAnsi="宋体" w:eastAsia="楷体_GB2312" w:cs="宋体"/>
                <w:color w:val="000000" w:themeColor="text1"/>
                <w:kern w:val="0"/>
                <w:szCs w:val="21"/>
                <w14:textFill>
                  <w14:solidFill>
                    <w14:schemeClr w14:val="tx1"/>
                  </w14:solidFill>
                </w14:textFill>
              </w:rPr>
              <w:t>应急预案评估可以邀请相关专业机构或者有关专家、有实际应急救援工作经验的人员参加，必要时可以委托安全生产技术服务机构实施</w:t>
            </w:r>
            <w:r>
              <w:rPr>
                <w:rFonts w:hint="eastAsia" w:ascii="楷体_GB2312" w:hAnsi="宋体" w:eastAsia="楷体_GB2312" w:cs="宋体"/>
                <w:color w:val="000000" w:themeColor="text1"/>
                <w:kern w:val="0"/>
                <w:szCs w:val="21"/>
                <w14:textFill>
                  <w14:solidFill>
                    <w14:schemeClr w14:val="tx1"/>
                  </w14:solidFill>
                </w14:textFill>
              </w:rPr>
              <w:t>;</w:t>
            </w:r>
          </w:p>
          <w:p>
            <w:pPr>
              <w:widowControl/>
              <w:spacing w:line="24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（4）应急预案评估结束后，评估组成员沟通交流各自评估情况，对照有关规定及相关标准，汇总评估中发现的问题，并形成一致、公正客观的评估组意见，在此基础上组织撰写评估报告;</w:t>
            </w:r>
          </w:p>
          <w:p>
            <w:pPr>
              <w:widowControl/>
              <w:spacing w:line="24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（5）评估要</w:t>
            </w:r>
            <w:r>
              <w:rPr>
                <w:rFonts w:ascii="楷体_GB2312" w:hAnsi="宋体" w:eastAsia="楷体_GB2312" w:cs="宋体"/>
                <w:color w:val="000000" w:themeColor="text1"/>
                <w:kern w:val="0"/>
                <w:szCs w:val="21"/>
                <w14:textFill>
                  <w14:solidFill>
                    <w14:schemeClr w14:val="tx1"/>
                  </w14:solidFill>
                </w14:textFill>
              </w:rPr>
              <w:t>对应急预案是否需要修订作出结论</w:t>
            </w:r>
            <w:r>
              <w:rPr>
                <w:rFonts w:hint="eastAsia" w:ascii="楷体_GB2312" w:hAnsi="宋体" w:eastAsia="楷体_GB2312" w:cs="宋体"/>
                <w:color w:val="000000" w:themeColor="text1"/>
                <w:kern w:val="0"/>
                <w:szCs w:val="21"/>
                <w14:textFill>
                  <w14:solidFill>
                    <w14:schemeClr w14:val="tx1"/>
                  </w14:solidFill>
                </w14:textFill>
              </w:rPr>
              <w:t>。</w:t>
            </w:r>
          </w:p>
        </w:tc>
        <w:tc>
          <w:tcPr>
            <w:tcW w:w="5243"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1.《生产安全事故应急预案管理办法》（国家安全生产监督管理总局令第88号，根据应急管理部令第2号修正）第三十五条。</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2.《生产经营单位生产安全事故应急预案评估指南》（</w:t>
            </w:r>
            <w:r>
              <w:rPr>
                <w:rFonts w:ascii="楷体_GB2312" w:hAnsi="宋体" w:eastAsia="楷体_GB2312" w:cs="宋体"/>
                <w:color w:val="000000" w:themeColor="text1"/>
                <w:kern w:val="0"/>
                <w:szCs w:val="21"/>
                <w14:textFill>
                  <w14:solidFill>
                    <w14:schemeClr w14:val="tx1"/>
                  </w14:solidFill>
                </w14:textFill>
              </w:rPr>
              <w:t>AQ</w:t>
            </w:r>
            <w:r>
              <w:rPr>
                <w:rFonts w:hint="eastAsia" w:ascii="楷体_GB2312" w:hAnsi="宋体" w:eastAsia="楷体_GB2312" w:cs="宋体"/>
                <w:color w:val="000000" w:themeColor="text1"/>
                <w:kern w:val="0"/>
                <w:szCs w:val="21"/>
                <w14:textFill>
                  <w14:solidFill>
                    <w14:schemeClr w14:val="tx1"/>
                  </w14:solidFill>
                </w14:textFill>
              </w:rPr>
              <w:t>/T 9011</w:t>
            </w:r>
            <w:r>
              <w:rPr>
                <w:rFonts w:ascii="楷体_GB2312" w:hAnsi="宋体" w:eastAsia="楷体_GB2312" w:cs="宋体"/>
                <w:color w:val="000000" w:themeColor="text1"/>
                <w:kern w:val="0"/>
                <w:szCs w:val="21"/>
                <w14:textFill>
                  <w14:solidFill>
                    <w14:schemeClr w14:val="tx1"/>
                  </w14:solidFill>
                </w14:textFill>
              </w:rPr>
              <w:t>—</w:t>
            </w:r>
            <w:r>
              <w:rPr>
                <w:rFonts w:hint="eastAsia" w:ascii="楷体_GB2312" w:hAnsi="宋体" w:eastAsia="楷体_GB2312" w:cs="宋体"/>
                <w:color w:val="000000" w:themeColor="text1"/>
                <w:kern w:val="0"/>
                <w:szCs w:val="21"/>
                <w14:textFill>
                  <w14:solidFill>
                    <w14:schemeClr w14:val="tx1"/>
                  </w14:solidFill>
                </w14:textFill>
              </w:rPr>
              <w:t>2019）5.1成立评估组、5.4评估报告编写。</w:t>
            </w:r>
          </w:p>
          <w:p>
            <w:pPr>
              <w:widowControl/>
              <w:jc w:val="left"/>
              <w:rPr>
                <w:rFonts w:ascii="楷体_GB2312" w:hAnsi="宋体" w:eastAsia="楷体_GB2312"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2265" w:hRule="atLeast"/>
        </w:trPr>
        <w:tc>
          <w:tcPr>
            <w:tcW w:w="710"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1137" w:type="dxa"/>
            <w:vMerge w:val="continue"/>
            <w:tcBorders>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694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6.预案修订。有下列情形之一的，生产安全事故应急救援预案制定单位应当及时修订相关预案</w:t>
            </w:r>
            <w:r>
              <w:rPr>
                <w:rFonts w:ascii="楷体_GB2312" w:hAnsi="宋体" w:eastAsia="楷体_GB2312" w:cs="宋体"/>
                <w:color w:val="000000" w:themeColor="text1"/>
                <w:kern w:val="0"/>
                <w:szCs w:val="21"/>
                <w14:textFill>
                  <w14:solidFill>
                    <w14:schemeClr w14:val="tx1"/>
                  </w14:solidFill>
                </w14:textFill>
              </w:rPr>
              <w:t>并归档</w:t>
            </w:r>
            <w:r>
              <w:rPr>
                <w:rFonts w:hint="eastAsia" w:ascii="楷体_GB2312" w:hAnsi="宋体" w:eastAsia="楷体_GB2312" w:cs="宋体"/>
                <w:color w:val="000000" w:themeColor="text1"/>
                <w:kern w:val="0"/>
                <w:szCs w:val="21"/>
                <w14:textFill>
                  <w14:solidFill>
                    <w14:schemeClr w14:val="tx1"/>
                  </w14:solidFill>
                </w14:textFill>
              </w:rPr>
              <w:t>：</w:t>
            </w:r>
          </w:p>
          <w:p>
            <w:pPr>
              <w:widowControl/>
              <w:spacing w:line="24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（1）依据的法律、法规、规章、标准及上位预案中的有关规定发生重大变化的；</w:t>
            </w:r>
          </w:p>
          <w:p>
            <w:pPr>
              <w:widowControl/>
              <w:spacing w:line="24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（2）应急指挥机构及其职责发生调整的；</w:t>
            </w:r>
          </w:p>
          <w:p>
            <w:pPr>
              <w:widowControl/>
              <w:spacing w:line="24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（3）安全生产面临的事故风险发生重大变化的；</w:t>
            </w:r>
          </w:p>
          <w:p>
            <w:pPr>
              <w:widowControl/>
              <w:spacing w:line="24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（4）重要应急资源发生重大变化的；</w:t>
            </w:r>
          </w:p>
          <w:p>
            <w:pPr>
              <w:widowControl/>
              <w:spacing w:line="24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（5）在应急演练和事故应急救援中发现需要修订预案的重大问题的；</w:t>
            </w:r>
          </w:p>
          <w:p>
            <w:pPr>
              <w:widowControl/>
              <w:spacing w:line="24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（6）编制单位认为应当修订的其他情况。</w:t>
            </w:r>
          </w:p>
        </w:tc>
        <w:tc>
          <w:tcPr>
            <w:tcW w:w="5243"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1.《生产安全事故应急条例》第六条。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2.《生产安全事故应急预案管理办法》（国家安全生产监督管理总局令第88号，根据应急管理部令第2号修正）第三十六条。</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3.《生产安全事故应急演练基本规范》（</w:t>
            </w:r>
            <w:r>
              <w:rPr>
                <w:rFonts w:ascii="楷体_GB2312" w:hAnsi="宋体" w:eastAsia="楷体_GB2312" w:cs="宋体"/>
                <w:color w:val="000000" w:themeColor="text1"/>
                <w:kern w:val="0"/>
                <w:szCs w:val="21"/>
                <w14:textFill>
                  <w14:solidFill>
                    <w14:schemeClr w14:val="tx1"/>
                  </w14:solidFill>
                </w14:textFill>
              </w:rPr>
              <w:t>AQ/T 9007-2019）</w:t>
            </w:r>
            <w:r>
              <w:rPr>
                <w:rFonts w:hint="eastAsia" w:ascii="楷体_GB2312" w:hAnsi="宋体" w:eastAsia="楷体_GB2312" w:cs="宋体"/>
                <w:color w:val="000000" w:themeColor="text1"/>
                <w:kern w:val="0"/>
                <w:szCs w:val="21"/>
                <w14:textFill>
                  <w14:solidFill>
                    <w14:schemeClr w14:val="tx1"/>
                  </w14:solidFill>
                </w14:textFill>
              </w:rPr>
              <w:t>9.1应急预案修订完善。</w:t>
            </w:r>
          </w:p>
        </w:tc>
      </w:tr>
      <w:tr>
        <w:tblPrEx>
          <w:tblCellMar>
            <w:top w:w="0" w:type="dxa"/>
            <w:left w:w="108" w:type="dxa"/>
            <w:bottom w:w="0" w:type="dxa"/>
            <w:right w:w="108" w:type="dxa"/>
          </w:tblCellMar>
        </w:tblPrEx>
        <w:trPr>
          <w:trHeight w:val="847"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w:t>
            </w:r>
          </w:p>
        </w:tc>
        <w:tc>
          <w:tcPr>
            <w:tcW w:w="1137"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能力提升</w:t>
            </w:r>
          </w:p>
        </w:tc>
        <w:tc>
          <w:tcPr>
            <w:tcW w:w="694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在全面调查和客观分析生产经营单位应急队伍、装备、物资等应急资源状况基础上，开展应急能力评估，并依据评估结果，完善应急保障措施，提高应急保障能力。</w:t>
            </w:r>
          </w:p>
        </w:tc>
        <w:tc>
          <w:tcPr>
            <w:tcW w:w="524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w:t>
            </w:r>
            <w:r>
              <w:rPr>
                <w:rFonts w:ascii="楷体_GB2312" w:hAnsi="宋体" w:eastAsia="楷体_GB2312" w:cs="宋体"/>
                <w:color w:val="000000" w:themeColor="text1"/>
                <w:kern w:val="0"/>
                <w:szCs w:val="21"/>
                <w14:textFill>
                  <w14:solidFill>
                    <w14:schemeClr w14:val="tx1"/>
                  </w14:solidFill>
                </w14:textFill>
              </w:rPr>
              <w:t>生产经营单位生产安全事故应急预案编制导则</w:t>
            </w:r>
            <w:r>
              <w:rPr>
                <w:rFonts w:hint="eastAsia" w:ascii="楷体_GB2312" w:hAnsi="宋体" w:eastAsia="楷体_GB2312" w:cs="宋体"/>
                <w:color w:val="000000" w:themeColor="text1"/>
                <w:kern w:val="0"/>
                <w:szCs w:val="21"/>
                <w14:textFill>
                  <w14:solidFill>
                    <w14:schemeClr w14:val="tx1"/>
                  </w14:solidFill>
                </w14:textFill>
              </w:rPr>
              <w:t>》（</w:t>
            </w:r>
            <w:r>
              <w:rPr>
                <w:rFonts w:ascii="楷体_GB2312" w:hAnsi="宋体" w:eastAsia="楷体_GB2312" w:cs="宋体"/>
                <w:color w:val="000000" w:themeColor="text1"/>
                <w:kern w:val="0"/>
                <w:szCs w:val="21"/>
                <w14:textFill>
                  <w14:solidFill>
                    <w14:schemeClr w14:val="tx1"/>
                  </w14:solidFill>
                </w14:textFill>
              </w:rPr>
              <w:t>GB/T29639</w:t>
            </w:r>
            <w:r>
              <w:rPr>
                <w:rFonts w:hint="eastAsia" w:ascii="楷体_GB2312" w:hAnsi="宋体" w:eastAsia="楷体_GB2312" w:cs="宋体"/>
                <w:color w:val="000000" w:themeColor="text1"/>
                <w:kern w:val="0"/>
                <w:szCs w:val="21"/>
                <w14:textFill>
                  <w14:solidFill>
                    <w14:schemeClr w14:val="tx1"/>
                  </w14:solidFill>
                </w14:textFill>
              </w:rPr>
              <w:t>-</w:t>
            </w:r>
            <w:r>
              <w:rPr>
                <w:rFonts w:ascii="楷体_GB2312" w:hAnsi="宋体" w:eastAsia="楷体_GB2312" w:cs="宋体"/>
                <w:color w:val="000000" w:themeColor="text1"/>
                <w:kern w:val="0"/>
                <w:szCs w:val="21"/>
                <w14:textFill>
                  <w14:solidFill>
                    <w14:schemeClr w14:val="tx1"/>
                  </w14:solidFill>
                </w14:textFill>
              </w:rPr>
              <w:t>2013</w:t>
            </w:r>
            <w:r>
              <w:rPr>
                <w:rFonts w:hint="eastAsia" w:ascii="楷体_GB2312" w:hAnsi="宋体" w:eastAsia="楷体_GB2312" w:cs="宋体"/>
                <w:color w:val="000000" w:themeColor="text1"/>
                <w:kern w:val="0"/>
                <w:szCs w:val="21"/>
                <w14:textFill>
                  <w14:solidFill>
                    <w14:schemeClr w14:val="tx1"/>
                  </w14:solidFill>
                </w14:textFill>
              </w:rPr>
              <w:t>）4.5应急能力评估。</w:t>
            </w:r>
          </w:p>
        </w:tc>
      </w:tr>
    </w:tbl>
    <w:p>
      <w:pPr>
        <w:spacing w:line="560" w:lineRule="exact"/>
        <w:jc w:val="center"/>
        <w:rPr>
          <w:rFonts w:ascii="华文中宋" w:hAnsi="华文中宋" w:eastAsia="华文中宋" w:cs="宋体"/>
          <w:color w:val="000000" w:themeColor="text1"/>
          <w:kern w:val="0"/>
          <w:sz w:val="30"/>
          <w:szCs w:val="30"/>
          <w14:textFill>
            <w14:solidFill>
              <w14:schemeClr w14:val="tx1"/>
            </w14:solidFill>
          </w14:textFill>
        </w:rPr>
      </w:pPr>
      <w:r>
        <w:rPr>
          <w:rFonts w:hint="eastAsia" w:ascii="华文中宋" w:hAnsi="华文中宋" w:eastAsia="华文中宋" w:cs="宋体"/>
          <w:color w:val="000000" w:themeColor="text1"/>
          <w:kern w:val="0"/>
          <w:sz w:val="44"/>
          <w:szCs w:val="44"/>
          <w14:textFill>
            <w14:solidFill>
              <w14:schemeClr w14:val="tx1"/>
            </w14:solidFill>
          </w14:textFill>
        </w:rPr>
        <w:t>危险化学品企业生产安全事故应急准备工作表</w:t>
      </w:r>
    </w:p>
    <w:p>
      <w:pPr>
        <w:spacing w:line="560" w:lineRule="exact"/>
        <w:jc w:val="left"/>
        <w:rPr>
          <w:rFonts w:ascii="楷体_GB2312" w:hAnsi="宋体" w:eastAsia="楷体_GB2312" w:cs="宋体"/>
          <w:b/>
          <w:color w:val="000000" w:themeColor="text1"/>
          <w:kern w:val="0"/>
          <w:szCs w:val="21"/>
          <w14:textFill>
            <w14:solidFill>
              <w14:schemeClr w14:val="tx1"/>
            </w14:solidFill>
          </w14:textFill>
        </w:rPr>
      </w:pPr>
      <w:r>
        <w:rPr>
          <w:rFonts w:hint="eastAsia" w:ascii="楷体_GB2312" w:hAnsi="宋体" w:eastAsia="楷体_GB2312" w:cs="宋体"/>
          <w:b/>
          <w:color w:val="000000" w:themeColor="text1"/>
          <w:kern w:val="0"/>
          <w:szCs w:val="21"/>
          <w14:textFill>
            <w14:solidFill>
              <w14:schemeClr w14:val="tx1"/>
            </w14:solidFill>
          </w14:textFill>
        </w:rPr>
        <w:t>要素6：监测与预警</w:t>
      </w:r>
    </w:p>
    <w:tbl>
      <w:tblPr>
        <w:tblStyle w:val="11"/>
        <w:tblW w:w="14034" w:type="dxa"/>
        <w:tblInd w:w="-318" w:type="dxa"/>
        <w:tblLayout w:type="fixed"/>
        <w:tblCellMar>
          <w:top w:w="0" w:type="dxa"/>
          <w:left w:w="108" w:type="dxa"/>
          <w:bottom w:w="0" w:type="dxa"/>
          <w:right w:w="108" w:type="dxa"/>
        </w:tblCellMar>
      </w:tblPr>
      <w:tblGrid>
        <w:gridCol w:w="710"/>
        <w:gridCol w:w="1137"/>
        <w:gridCol w:w="4533"/>
        <w:gridCol w:w="7654"/>
      </w:tblGrid>
      <w:tr>
        <w:tblPrEx>
          <w:tblCellMar>
            <w:top w:w="0" w:type="dxa"/>
            <w:left w:w="108" w:type="dxa"/>
            <w:bottom w:w="0" w:type="dxa"/>
            <w:right w:w="108" w:type="dxa"/>
          </w:tblCellMar>
        </w:tblPrEx>
        <w:trPr>
          <w:trHeight w:val="408"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序号</w:t>
            </w:r>
          </w:p>
        </w:tc>
        <w:tc>
          <w:tcPr>
            <w:tcW w:w="113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项目</w:t>
            </w:r>
          </w:p>
        </w:tc>
        <w:tc>
          <w:tcPr>
            <w:tcW w:w="453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内容</w:t>
            </w:r>
          </w:p>
        </w:tc>
        <w:tc>
          <w:tcPr>
            <w:tcW w:w="76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依据</w:t>
            </w:r>
          </w:p>
        </w:tc>
      </w:tr>
      <w:tr>
        <w:tblPrEx>
          <w:tblCellMar>
            <w:top w:w="0" w:type="dxa"/>
            <w:left w:w="108" w:type="dxa"/>
            <w:bottom w:w="0" w:type="dxa"/>
            <w:right w:w="108" w:type="dxa"/>
          </w:tblCellMar>
        </w:tblPrEx>
        <w:trPr>
          <w:trHeight w:val="2144" w:hRule="atLeast"/>
        </w:trPr>
        <w:tc>
          <w:tcPr>
            <w:tcW w:w="7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w:t>
            </w:r>
          </w:p>
        </w:tc>
        <w:tc>
          <w:tcPr>
            <w:tcW w:w="113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监测</w:t>
            </w:r>
          </w:p>
        </w:tc>
        <w:tc>
          <w:tcPr>
            <w:tcW w:w="4533" w:type="dxa"/>
            <w:tcBorders>
              <w:top w:val="nil"/>
              <w:left w:val="nil"/>
              <w:bottom w:val="single" w:color="auto" w:sz="4" w:space="0"/>
              <w:right w:val="single" w:color="auto" w:sz="4" w:space="0"/>
            </w:tcBorders>
            <w:shd w:val="clear" w:color="auto" w:fill="auto"/>
            <w:vAlign w:val="center"/>
          </w:tcPr>
          <w:p>
            <w:pPr>
              <w:widowControl/>
              <w:numPr>
                <w:ilvl w:val="0"/>
                <w:numId w:val="1"/>
              </w:numPr>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结合生产工艺和事故风险，建立健全基于过程控制系统、安全仪表系统、灾害报警系统的监测预报系统，科学设置监测预报参数，并结合系统数据异常情况进行事故风险评估和预报；</w:t>
            </w:r>
          </w:p>
          <w:p>
            <w:pPr>
              <w:widowControl/>
              <w:numPr>
                <w:ilvl w:val="0"/>
                <w:numId w:val="1"/>
              </w:numPr>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重大危险源和关键部位的监测监控信息要接入危险化学品安全生产风险监测预警系统，警示信息及时处置，并保证系统正常运行。</w:t>
            </w:r>
          </w:p>
        </w:tc>
        <w:tc>
          <w:tcPr>
            <w:tcW w:w="7654"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1.《突发事件应急预案管理办法》（国务院办公厅印发）第九条。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2.《危险化学品重大危险源监督管理暂行规定》（国家安全生产监督管理总局令第40号，根据国家安全监管总局令第79号修正）第十三条。</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3.《国家安全监管总局关于加强科学施救提高生产安全事故灾难应急救援水平的指导意见》（安监总应急〔2012〕147号）（十三）加强重大危险源监测监控及预警预报工作。</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4.《国务院安委会办公室 应急管理部关于加快推进危险化学品安全生产风险监测预警系统建设的指导意见》（安委办〔2019〕11号）三、建设内容（一）危险化学品企业、化工园区建设完善监测监控系统。</w:t>
            </w:r>
          </w:p>
        </w:tc>
      </w:tr>
      <w:tr>
        <w:tblPrEx>
          <w:tblCellMar>
            <w:top w:w="0" w:type="dxa"/>
            <w:left w:w="108" w:type="dxa"/>
            <w:bottom w:w="0" w:type="dxa"/>
            <w:right w:w="108" w:type="dxa"/>
          </w:tblCellMar>
        </w:tblPrEx>
        <w:trPr>
          <w:trHeight w:val="1981" w:hRule="atLeast"/>
        </w:trPr>
        <w:tc>
          <w:tcPr>
            <w:tcW w:w="7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w:t>
            </w:r>
          </w:p>
        </w:tc>
        <w:tc>
          <w:tcPr>
            <w:tcW w:w="113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预警分级</w:t>
            </w:r>
          </w:p>
        </w:tc>
        <w:tc>
          <w:tcPr>
            <w:tcW w:w="4533"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一般情况下，按照事故发生的紧急程度、发展势态和可能造成的危害程度分为一级、二级、三级和四级，分别用红色、橙色、黄色和蓝色标示，一级为最高级别。</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在事故情形简单、严重程度较小等情况下，可以根据实际情况，灵活调整分为两个或三个等级。</w:t>
            </w:r>
          </w:p>
        </w:tc>
        <w:tc>
          <w:tcPr>
            <w:tcW w:w="7654"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1.《中华人民共和国突发事件应对法》第四十二条。</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2.《国家突发公共事件总体应急预案》3.1.1预警级别和发布。</w:t>
            </w:r>
          </w:p>
        </w:tc>
      </w:tr>
      <w:tr>
        <w:tblPrEx>
          <w:tblCellMar>
            <w:top w:w="0" w:type="dxa"/>
            <w:left w:w="108" w:type="dxa"/>
            <w:bottom w:w="0" w:type="dxa"/>
            <w:right w:w="108" w:type="dxa"/>
          </w:tblCellMar>
        </w:tblPrEx>
        <w:trPr>
          <w:trHeight w:val="2130" w:hRule="atLeast"/>
        </w:trPr>
        <w:tc>
          <w:tcPr>
            <w:tcW w:w="71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w:t>
            </w:r>
          </w:p>
        </w:tc>
        <w:tc>
          <w:tcPr>
            <w:tcW w:w="113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预警措施</w:t>
            </w:r>
          </w:p>
        </w:tc>
        <w:tc>
          <w:tcPr>
            <w:tcW w:w="4533"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1.按照不同预警等级，分别采取一项或多项应急措施；</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2.一旦重大危险源发生事故，要立即向事故区域发出预警，迅速疏散危险区域有关人员，调动应急力量快速处置，做到提前预警、提前防范、提前处置。</w:t>
            </w:r>
          </w:p>
        </w:tc>
        <w:tc>
          <w:tcPr>
            <w:tcW w:w="7654"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1.《中华人民共和国突发事件应对法》第四十四条、第四十五条。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2.《国家安全监管总局关于加强科学施救提高生产安全事故灾难应急救援水平的指导意见》（安监总应急〔2012〕147号）（十三）加强重大危险源监测监控及预警预报工作。</w:t>
            </w:r>
          </w:p>
        </w:tc>
      </w:tr>
    </w:tbl>
    <w:p>
      <w:pPr>
        <w:spacing w:line="560" w:lineRule="exact"/>
        <w:jc w:val="left"/>
        <w:rPr>
          <w:rFonts w:ascii="仿宋_GB2312" w:hAnsi="宋体" w:eastAsia="仿宋_GB2312"/>
          <w:color w:val="000000" w:themeColor="text1"/>
          <w:sz w:val="32"/>
          <w:szCs w:val="32"/>
          <w14:textFill>
            <w14:solidFill>
              <w14:schemeClr w14:val="tx1"/>
            </w14:solidFill>
          </w14:textFill>
        </w:rPr>
      </w:pPr>
    </w:p>
    <w:p>
      <w:pPr>
        <w:widowControl/>
        <w:jc w:val="left"/>
        <w:rPr>
          <w:rFonts w:ascii="仿宋_GB2312" w:hAnsi="宋体" w:eastAsia="仿宋_GB2312"/>
          <w:color w:val="000000" w:themeColor="text1"/>
          <w:sz w:val="32"/>
          <w:szCs w:val="32"/>
          <w14:textFill>
            <w14:solidFill>
              <w14:schemeClr w14:val="tx1"/>
            </w14:solidFill>
          </w14:textFill>
        </w:rPr>
      </w:pPr>
    </w:p>
    <w:p>
      <w:pPr>
        <w:spacing w:line="560" w:lineRule="exact"/>
        <w:jc w:val="center"/>
        <w:rPr>
          <w:rFonts w:ascii="仿宋_GB2312" w:hAnsi="宋体" w:eastAsia="仿宋_GB2312"/>
          <w:color w:val="000000" w:themeColor="text1"/>
          <w:sz w:val="44"/>
          <w:szCs w:val="44"/>
          <w14:textFill>
            <w14:solidFill>
              <w14:schemeClr w14:val="tx1"/>
            </w14:solidFill>
          </w14:textFill>
        </w:rPr>
      </w:pPr>
      <w:r>
        <w:rPr>
          <w:rFonts w:hint="eastAsia" w:ascii="华文中宋" w:hAnsi="华文中宋" w:eastAsia="华文中宋" w:cs="宋体"/>
          <w:color w:val="000000" w:themeColor="text1"/>
          <w:kern w:val="0"/>
          <w:sz w:val="44"/>
          <w:szCs w:val="44"/>
          <w14:textFill>
            <w14:solidFill>
              <w14:schemeClr w14:val="tx1"/>
            </w14:solidFill>
          </w14:textFill>
        </w:rPr>
        <w:t>危险化学品企业生产安全事故应急准备工作表</w:t>
      </w:r>
    </w:p>
    <w:p>
      <w:pPr>
        <w:spacing w:line="560" w:lineRule="exact"/>
        <w:jc w:val="left"/>
        <w:rPr>
          <w:rFonts w:ascii="仿宋_GB2312" w:hAnsi="宋体" w:eastAsia="仿宋_GB2312"/>
          <w:b/>
          <w:color w:val="000000" w:themeColor="text1"/>
          <w:sz w:val="32"/>
          <w:szCs w:val="32"/>
          <w14:textFill>
            <w14:solidFill>
              <w14:schemeClr w14:val="tx1"/>
            </w14:solidFill>
          </w14:textFill>
        </w:rPr>
      </w:pPr>
      <w:r>
        <w:rPr>
          <w:rFonts w:hint="eastAsia" w:ascii="楷体_GB2312" w:hAnsi="宋体" w:eastAsia="楷体_GB2312" w:cs="宋体"/>
          <w:b/>
          <w:color w:val="000000" w:themeColor="text1"/>
          <w:kern w:val="0"/>
          <w:szCs w:val="21"/>
          <w14:textFill>
            <w14:solidFill>
              <w14:schemeClr w14:val="tx1"/>
            </w14:solidFill>
          </w14:textFill>
        </w:rPr>
        <w:t>要素7：教育培训与演练</w:t>
      </w:r>
    </w:p>
    <w:tbl>
      <w:tblPr>
        <w:tblStyle w:val="11"/>
        <w:tblW w:w="14034" w:type="dxa"/>
        <w:tblInd w:w="-318" w:type="dxa"/>
        <w:tblLayout w:type="fixed"/>
        <w:tblCellMar>
          <w:top w:w="0" w:type="dxa"/>
          <w:left w:w="108" w:type="dxa"/>
          <w:bottom w:w="0" w:type="dxa"/>
          <w:right w:w="108" w:type="dxa"/>
        </w:tblCellMar>
      </w:tblPr>
      <w:tblGrid>
        <w:gridCol w:w="710"/>
        <w:gridCol w:w="1134"/>
        <w:gridCol w:w="4885"/>
        <w:gridCol w:w="7305"/>
      </w:tblGrid>
      <w:tr>
        <w:tblPrEx>
          <w:tblCellMar>
            <w:top w:w="0" w:type="dxa"/>
            <w:left w:w="108" w:type="dxa"/>
            <w:bottom w:w="0" w:type="dxa"/>
            <w:right w:w="108" w:type="dxa"/>
          </w:tblCellMar>
        </w:tblPrEx>
        <w:trPr>
          <w:trHeight w:val="408"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序号</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项目</w:t>
            </w:r>
          </w:p>
        </w:tc>
        <w:tc>
          <w:tcPr>
            <w:tcW w:w="488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内容</w:t>
            </w:r>
          </w:p>
        </w:tc>
        <w:tc>
          <w:tcPr>
            <w:tcW w:w="730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依据</w:t>
            </w:r>
          </w:p>
        </w:tc>
      </w:tr>
      <w:tr>
        <w:tblPrEx>
          <w:tblCellMar>
            <w:top w:w="0" w:type="dxa"/>
            <w:left w:w="108" w:type="dxa"/>
            <w:bottom w:w="0" w:type="dxa"/>
            <w:right w:w="108" w:type="dxa"/>
          </w:tblCellMar>
        </w:tblPrEx>
        <w:trPr>
          <w:trHeight w:val="2286" w:hRule="atLeast"/>
        </w:trPr>
        <w:tc>
          <w:tcPr>
            <w:tcW w:w="710"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w:t>
            </w:r>
          </w:p>
        </w:tc>
        <w:tc>
          <w:tcPr>
            <w:tcW w:w="1134"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应急教育培训</w:t>
            </w:r>
          </w:p>
        </w:tc>
        <w:tc>
          <w:tcPr>
            <w:tcW w:w="4885"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1.企业应制定应急教育培训计划与目标，对从业人员进行应急教育和培训，保证从业人员具备必要的应急知识，掌握风险防范技能和事故应急措施。</w:t>
            </w:r>
          </w:p>
        </w:tc>
        <w:tc>
          <w:tcPr>
            <w:tcW w:w="7305"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1.《中华人民共和国安全生产法》第二十五条。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2.《生产安全事故应急条例》第十五条。</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3.《生产安全事故应急预案管理办法》（国家安全生产监督管理总局令第88号，根据应急管理部令第2号修正）第三十一条。</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4.《国家安全监管总局关于加强科学施救提高生产安全事故灾难应急救援水平的指导意见》（安监总应急〔2012〕147号）（十五）加强高危行业企业相关人员的培训教育。</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5.《安全生产应急管理“十三五”规划》（安监总应急〔2017〕107号）三、主要任务（六）强化应急管理培训宣教。</w:t>
            </w:r>
          </w:p>
        </w:tc>
      </w:tr>
      <w:tr>
        <w:tblPrEx>
          <w:tblCellMar>
            <w:top w:w="0" w:type="dxa"/>
            <w:left w:w="108" w:type="dxa"/>
            <w:bottom w:w="0" w:type="dxa"/>
            <w:right w:w="108" w:type="dxa"/>
          </w:tblCellMar>
        </w:tblPrEx>
        <w:trPr>
          <w:trHeight w:val="2376" w:hRule="atLeast"/>
        </w:trPr>
        <w:tc>
          <w:tcPr>
            <w:tcW w:w="710" w:type="dxa"/>
            <w:vMerge w:val="continue"/>
            <w:tcBorders>
              <w:left w:val="single" w:color="auto" w:sz="4" w:space="0"/>
              <w:right w:val="single" w:color="auto" w:sz="4" w:space="0"/>
            </w:tcBorders>
            <w:shd w:val="clear" w:color="auto" w:fill="auto"/>
            <w:vAlign w:val="center"/>
          </w:tcPr>
          <w:p>
            <w:pPr>
              <w:jc w:val="center"/>
              <w:rPr>
                <w:rFonts w:ascii="楷体_GB2312" w:hAnsi="宋体" w:eastAsia="楷体_GB2312" w:cs="宋体"/>
                <w:color w:val="000000" w:themeColor="text1"/>
                <w:kern w:val="0"/>
                <w:szCs w:val="21"/>
                <w14:textFill>
                  <w14:solidFill>
                    <w14:schemeClr w14:val="tx1"/>
                  </w14:solidFill>
                </w14:textFill>
              </w:rPr>
            </w:pPr>
          </w:p>
        </w:tc>
        <w:tc>
          <w:tcPr>
            <w:tcW w:w="1134"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p>
        </w:tc>
        <w:tc>
          <w:tcPr>
            <w:tcW w:w="4885"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2教育培训内容。</w:t>
            </w:r>
          </w:p>
          <w:p>
            <w:pPr>
              <w:widowControl/>
              <w:shd w:val="clear" w:color="auto" w:fill="FFFFFF"/>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（1）生产经营单位应当组织开展本单位的风险评估、应急预案、应急知识、自救互救和避险逃生技能的培训活动，使有关人员了解应急预案内容，熟悉应急职责、应急处置程序和措施；</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（2）危险化学品基础知识，必要的应急知识、风险防范技能和事故应急措施；</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（3）危险化学品安全生产风险监测预警系统应用。</w:t>
            </w:r>
          </w:p>
        </w:tc>
        <w:tc>
          <w:tcPr>
            <w:tcW w:w="7305"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1.《中共中央 国务院关于推进安全生产领域改革发展的意见》（二十一）强化企业预防措施。</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2.《生产安全事故应急条例》第三十条。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3.《生产安全事故应急预案管理办法》（国家安全生产监督管理总局令第88号，根据应急管理部令第2号修正）第三十一条。</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4.《危险化学品应急救援管理人员培训及考核要求》（AQ/T3043-2013） 4培训要求、5培训内容。</w:t>
            </w:r>
          </w:p>
        </w:tc>
      </w:tr>
      <w:tr>
        <w:tblPrEx>
          <w:tblCellMar>
            <w:top w:w="0" w:type="dxa"/>
            <w:left w:w="108" w:type="dxa"/>
            <w:bottom w:w="0" w:type="dxa"/>
            <w:right w:w="108" w:type="dxa"/>
          </w:tblCellMar>
        </w:tblPrEx>
        <w:trPr>
          <w:trHeight w:val="1856" w:hRule="atLeast"/>
        </w:trPr>
        <w:tc>
          <w:tcPr>
            <w:tcW w:w="710"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1134"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p>
        </w:tc>
        <w:tc>
          <w:tcPr>
            <w:tcW w:w="4885"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3.培训考核与建档。</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（1）对参加培训的人员进行评估考核，包括基础知识考核、实际应用能力考核和再培训考核；</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（2）应急培训的时间、地点、内容、师资、参加人员和考核结果等情况应当如实记入本单位的安全生产教育和培训档案。</w:t>
            </w:r>
          </w:p>
        </w:tc>
        <w:tc>
          <w:tcPr>
            <w:tcW w:w="7305"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1.《生产安全事故应急预案管理办法》（国家安全生产监督管理总局令第88号，根据应急管理部令第2号修正）第三十一条。</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2.《危险化学品应急救援管理人员培训及考核要求》（AQ/T3043-2013）6 考核标准。</w:t>
            </w:r>
          </w:p>
        </w:tc>
      </w:tr>
    </w:tbl>
    <w:p>
      <w:pPr>
        <w:spacing w:line="560" w:lineRule="exact"/>
        <w:jc w:val="left"/>
        <w:rPr>
          <w:rFonts w:ascii="仿宋_GB2312" w:hAnsi="宋体" w:eastAsia="仿宋_GB2312"/>
          <w:b/>
          <w:color w:val="000000" w:themeColor="text1"/>
          <w:sz w:val="32"/>
          <w:szCs w:val="32"/>
          <w14:textFill>
            <w14:solidFill>
              <w14:schemeClr w14:val="tx1"/>
            </w14:solidFill>
          </w14:textFill>
        </w:rPr>
      </w:pPr>
      <w:r>
        <w:rPr>
          <w:rFonts w:hint="eastAsia" w:ascii="楷体_GB2312" w:hAnsi="宋体" w:eastAsia="楷体_GB2312" w:cs="宋体"/>
          <w:b/>
          <w:color w:val="000000" w:themeColor="text1"/>
          <w:kern w:val="0"/>
          <w:szCs w:val="21"/>
          <w14:textFill>
            <w14:solidFill>
              <w14:schemeClr w14:val="tx1"/>
            </w14:solidFill>
          </w14:textFill>
        </w:rPr>
        <w:t>要素7：教育培训与演练（续）</w:t>
      </w:r>
    </w:p>
    <w:tbl>
      <w:tblPr>
        <w:tblStyle w:val="11"/>
        <w:tblW w:w="14034" w:type="dxa"/>
        <w:tblInd w:w="-318" w:type="dxa"/>
        <w:tblLayout w:type="fixed"/>
        <w:tblCellMar>
          <w:top w:w="0" w:type="dxa"/>
          <w:left w:w="108" w:type="dxa"/>
          <w:bottom w:w="0" w:type="dxa"/>
          <w:right w:w="108" w:type="dxa"/>
        </w:tblCellMar>
      </w:tblPr>
      <w:tblGrid>
        <w:gridCol w:w="710"/>
        <w:gridCol w:w="1134"/>
        <w:gridCol w:w="4903"/>
        <w:gridCol w:w="7287"/>
      </w:tblGrid>
      <w:tr>
        <w:tblPrEx>
          <w:tblCellMar>
            <w:top w:w="0" w:type="dxa"/>
            <w:left w:w="108" w:type="dxa"/>
            <w:bottom w:w="0" w:type="dxa"/>
            <w:right w:w="108" w:type="dxa"/>
          </w:tblCellMar>
        </w:tblPrEx>
        <w:trPr>
          <w:trHeight w:val="408"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序号</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项目</w:t>
            </w:r>
          </w:p>
        </w:tc>
        <w:tc>
          <w:tcPr>
            <w:tcW w:w="490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内容</w:t>
            </w:r>
          </w:p>
        </w:tc>
        <w:tc>
          <w:tcPr>
            <w:tcW w:w="72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依据</w:t>
            </w:r>
          </w:p>
        </w:tc>
      </w:tr>
      <w:tr>
        <w:tblPrEx>
          <w:tblCellMar>
            <w:top w:w="0" w:type="dxa"/>
            <w:left w:w="108" w:type="dxa"/>
            <w:bottom w:w="0" w:type="dxa"/>
            <w:right w:w="108" w:type="dxa"/>
          </w:tblCellMar>
        </w:tblPrEx>
        <w:trPr>
          <w:trHeight w:val="90"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应急演练</w:t>
            </w:r>
          </w:p>
        </w:tc>
        <w:tc>
          <w:tcPr>
            <w:tcW w:w="490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4.应急演练。</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（1）制定本单位的应急预案演练计划，至少每半年组织一次生产安全事故应急预案演练；</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（2）将演练情况报送所在地县级以上人民政府负有安全生产监督管理职责的部门；</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（3）开展多种形式的演练。按照演练内容分为综合演练和单项演练，按照演练形式分为现场演练和桌面演练，不同类型的演练可相互组合；</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（4）基于危险化学品安全生产风险监测预警系统和应急指挥“一张图”，开展信息化条件下的应急演练。</w:t>
            </w:r>
          </w:p>
        </w:tc>
        <w:tc>
          <w:tcPr>
            <w:tcW w:w="7287"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1.《生产安全事故应急条例》第八条。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2.《生产安全事故应急预案管理办法》（国家安全生产监督管理总局令第88号，根据应急管理部令第2号修正）第三十三条。</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3.《生产安全事故应急演练基本规范》（AQ/T 9007-2019）4.2  应急演练分类。</w:t>
            </w:r>
          </w:p>
        </w:tc>
      </w:tr>
      <w:tr>
        <w:tblPrEx>
          <w:tblCellMar>
            <w:top w:w="0" w:type="dxa"/>
            <w:left w:w="108" w:type="dxa"/>
            <w:bottom w:w="0" w:type="dxa"/>
            <w:right w:w="108" w:type="dxa"/>
          </w:tblCellMar>
        </w:tblPrEx>
        <w:trPr>
          <w:trHeight w:val="2613" w:hRule="atLeast"/>
        </w:trPr>
        <w:tc>
          <w:tcPr>
            <w:tcW w:w="710" w:type="dxa"/>
            <w:vMerge w:val="restart"/>
            <w:tcBorders>
              <w:top w:val="single" w:color="auto" w:sz="4" w:space="0"/>
              <w:left w:val="single" w:color="auto" w:sz="4" w:space="0"/>
              <w:right w:val="single" w:color="auto" w:sz="4" w:space="0"/>
            </w:tcBorders>
            <w:shd w:val="clear" w:color="auto" w:fill="auto"/>
            <w:vAlign w:val="center"/>
          </w:tcPr>
          <w:p>
            <w:pPr>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w:t>
            </w:r>
          </w:p>
        </w:tc>
        <w:tc>
          <w:tcPr>
            <w:tcW w:w="1134" w:type="dxa"/>
            <w:vMerge w:val="restart"/>
            <w:tcBorders>
              <w:top w:val="single" w:color="auto" w:sz="4" w:space="0"/>
              <w:left w:val="nil"/>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演练评估</w:t>
            </w:r>
          </w:p>
        </w:tc>
        <w:tc>
          <w:tcPr>
            <w:tcW w:w="490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5.演练评估。</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（1）演练设置评估组，由应急管理方面专家和相关领域专业技术人员或相关方代表组成；</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（2）评估组编写评估方案和评估标准；</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（3）评估人员应经过相关培训；</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（4）演练现场评估工作结束后，评估组针对收集的各种信息资料，依据评估标准和相关文件资料对演练活动全过程进行科学分析和客观评价，并撰写演练评估报告，评估报告应向所有参演人员公示。</w:t>
            </w:r>
          </w:p>
        </w:tc>
        <w:tc>
          <w:tcPr>
            <w:tcW w:w="7287"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1.《生产安全事故应急演练评估规范》（AQ/T 9009-2015） 4.5评估组、5.5编写评估方案和评估标准、5.6培训评估人员、7.4编制演练评估报告。</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2.《生产安全事故应急演练基本规范》（AQ/T 9007-2019） 8.1评估。</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3.《国家安全监管总局关于加强科学施救提高生产安全事故灾难应急救援水平的指导意见》（安监总应急〔2012〕147号）（十二）加强事故救援的总结评估工作。</w:t>
            </w:r>
            <w:r>
              <w:rPr>
                <w:rFonts w:hint="eastAsia" w:ascii="楷体_GB2312" w:hAnsi="宋体" w:eastAsia="楷体_GB2312" w:cs="宋体"/>
                <w:color w:val="000000" w:themeColor="text1"/>
                <w:kern w:val="0"/>
                <w:szCs w:val="21"/>
                <w14:textFill>
                  <w14:solidFill>
                    <w14:schemeClr w14:val="tx1"/>
                  </w14:solidFill>
                </w14:textFill>
              </w:rPr>
              <w:br w:type="textWrapping"/>
            </w:r>
          </w:p>
        </w:tc>
      </w:tr>
      <w:tr>
        <w:tblPrEx>
          <w:tblCellMar>
            <w:top w:w="0" w:type="dxa"/>
            <w:left w:w="108" w:type="dxa"/>
            <w:bottom w:w="0" w:type="dxa"/>
            <w:right w:w="108" w:type="dxa"/>
          </w:tblCellMar>
        </w:tblPrEx>
        <w:trPr>
          <w:trHeight w:val="90" w:hRule="atLeast"/>
        </w:trPr>
        <w:tc>
          <w:tcPr>
            <w:tcW w:w="710"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1134" w:type="dxa"/>
            <w:vMerge w:val="continue"/>
            <w:tcBorders>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490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6.持续改进。</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（1）应急预案编制部门根据演练评估报告中对应急预案的改进建议，按程序对预案进行修订完善；</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（2）根据演练评估报告中提出的问题和建议，明确整改措施和时限，对应急管理工作进行持续改进。</w:t>
            </w:r>
          </w:p>
        </w:tc>
        <w:tc>
          <w:tcPr>
            <w:tcW w:w="7287"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1.《生产安全事故应急演练基本规范》（AQ/T 9007-2019） 9.1应急预案修订完善、9.2应急管理工作改进。</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2.《生产安全事故应急演练评估规范》（AQ/T 9009-2015） 7.5整改落实。</w:t>
            </w:r>
          </w:p>
        </w:tc>
      </w:tr>
    </w:tbl>
    <w:p>
      <w:pPr>
        <w:widowControl/>
        <w:jc w:val="left"/>
        <w:rPr>
          <w:rFonts w:ascii="仿宋_GB2312" w:hAnsi="宋体" w:eastAsia="仿宋_GB2312"/>
          <w:color w:val="000000" w:themeColor="text1"/>
          <w:sz w:val="32"/>
          <w:szCs w:val="32"/>
          <w14:textFill>
            <w14:solidFill>
              <w14:schemeClr w14:val="tx1"/>
            </w14:solidFill>
          </w14:textFill>
        </w:rPr>
      </w:pPr>
      <w:r>
        <w:rPr>
          <w:rFonts w:ascii="仿宋_GB2312" w:hAnsi="宋体" w:eastAsia="仿宋_GB2312"/>
          <w:color w:val="000000" w:themeColor="text1"/>
          <w:sz w:val="32"/>
          <w:szCs w:val="32"/>
          <w14:textFill>
            <w14:solidFill>
              <w14:schemeClr w14:val="tx1"/>
            </w14:solidFill>
          </w14:textFill>
        </w:rPr>
        <w:br w:type="page"/>
      </w:r>
    </w:p>
    <w:p>
      <w:pPr>
        <w:spacing w:line="560" w:lineRule="exact"/>
        <w:jc w:val="center"/>
        <w:rPr>
          <w:rFonts w:ascii="华文中宋" w:hAnsi="华文中宋" w:eastAsia="华文中宋" w:cs="宋体"/>
          <w:color w:val="000000" w:themeColor="text1"/>
          <w:kern w:val="0"/>
          <w:sz w:val="30"/>
          <w:szCs w:val="30"/>
          <w14:textFill>
            <w14:solidFill>
              <w14:schemeClr w14:val="tx1"/>
            </w14:solidFill>
          </w14:textFill>
        </w:rPr>
      </w:pPr>
      <w:r>
        <w:rPr>
          <w:rFonts w:hint="eastAsia" w:ascii="华文中宋" w:hAnsi="华文中宋" w:eastAsia="华文中宋" w:cs="宋体"/>
          <w:color w:val="000000" w:themeColor="text1"/>
          <w:kern w:val="0"/>
          <w:sz w:val="44"/>
          <w:szCs w:val="44"/>
          <w14:textFill>
            <w14:solidFill>
              <w14:schemeClr w14:val="tx1"/>
            </w14:solidFill>
          </w14:textFill>
        </w:rPr>
        <w:t>危险化学品企业生产安全事故应急准备工作表</w:t>
      </w:r>
    </w:p>
    <w:p>
      <w:pPr>
        <w:spacing w:line="560" w:lineRule="exact"/>
        <w:jc w:val="left"/>
        <w:rPr>
          <w:rFonts w:ascii="楷体_GB2312" w:hAnsi="宋体" w:eastAsia="楷体_GB2312" w:cs="宋体"/>
          <w:b/>
          <w:color w:val="000000" w:themeColor="text1"/>
          <w:kern w:val="0"/>
          <w:szCs w:val="21"/>
          <w14:textFill>
            <w14:solidFill>
              <w14:schemeClr w14:val="tx1"/>
            </w14:solidFill>
          </w14:textFill>
        </w:rPr>
      </w:pPr>
      <w:r>
        <w:rPr>
          <w:rFonts w:hint="eastAsia" w:ascii="楷体_GB2312" w:hAnsi="宋体" w:eastAsia="楷体_GB2312" w:cs="宋体"/>
          <w:b/>
          <w:color w:val="000000" w:themeColor="text1"/>
          <w:kern w:val="0"/>
          <w:szCs w:val="21"/>
          <w14:textFill>
            <w14:solidFill>
              <w14:schemeClr w14:val="tx1"/>
            </w14:solidFill>
          </w14:textFill>
        </w:rPr>
        <w:t>要素8：值班值守</w:t>
      </w:r>
    </w:p>
    <w:tbl>
      <w:tblPr>
        <w:tblStyle w:val="11"/>
        <w:tblW w:w="14034" w:type="dxa"/>
        <w:tblInd w:w="-318" w:type="dxa"/>
        <w:tblLayout w:type="fixed"/>
        <w:tblCellMar>
          <w:top w:w="0" w:type="dxa"/>
          <w:left w:w="108" w:type="dxa"/>
          <w:bottom w:w="0" w:type="dxa"/>
          <w:right w:w="108" w:type="dxa"/>
        </w:tblCellMar>
      </w:tblPr>
      <w:tblGrid>
        <w:gridCol w:w="710"/>
        <w:gridCol w:w="1134"/>
        <w:gridCol w:w="6663"/>
        <w:gridCol w:w="5527"/>
      </w:tblGrid>
      <w:tr>
        <w:tblPrEx>
          <w:tblCellMar>
            <w:top w:w="0" w:type="dxa"/>
            <w:left w:w="108" w:type="dxa"/>
            <w:bottom w:w="0" w:type="dxa"/>
            <w:right w:w="108" w:type="dxa"/>
          </w:tblCellMar>
        </w:tblPrEx>
        <w:trPr>
          <w:trHeight w:val="393"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序号</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项目</w:t>
            </w:r>
          </w:p>
        </w:tc>
        <w:tc>
          <w:tcPr>
            <w:tcW w:w="666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内容</w:t>
            </w:r>
          </w:p>
        </w:tc>
        <w:tc>
          <w:tcPr>
            <w:tcW w:w="552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依据</w:t>
            </w:r>
          </w:p>
        </w:tc>
      </w:tr>
      <w:tr>
        <w:tblPrEx>
          <w:tblCellMar>
            <w:top w:w="0" w:type="dxa"/>
            <w:left w:w="108" w:type="dxa"/>
            <w:bottom w:w="0" w:type="dxa"/>
            <w:right w:w="108" w:type="dxa"/>
          </w:tblCellMar>
        </w:tblPrEx>
        <w:trPr>
          <w:trHeight w:val="958" w:hRule="atLeast"/>
        </w:trPr>
        <w:tc>
          <w:tcPr>
            <w:tcW w:w="710"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应急值班</w:t>
            </w:r>
          </w:p>
        </w:tc>
        <w:tc>
          <w:tcPr>
            <w:tcW w:w="6663"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1.建立应急值班制度，配备应急值班人员，明确24小时应急值守电话。</w:t>
            </w:r>
          </w:p>
        </w:tc>
        <w:tc>
          <w:tcPr>
            <w:tcW w:w="5527"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1.《生产安全事故应急条例》第十四条。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2.《生产经营单位生产安全事故应急预案编制导则》（ GB/T 29639-2013）6.4.2信息报告。</w:t>
            </w:r>
          </w:p>
        </w:tc>
      </w:tr>
      <w:tr>
        <w:tblPrEx>
          <w:tblCellMar>
            <w:top w:w="0" w:type="dxa"/>
            <w:left w:w="108" w:type="dxa"/>
            <w:bottom w:w="0" w:type="dxa"/>
            <w:right w:w="108" w:type="dxa"/>
          </w:tblCellMar>
        </w:tblPrEx>
        <w:trPr>
          <w:trHeight w:val="1049" w:hRule="atLeast"/>
        </w:trPr>
        <w:tc>
          <w:tcPr>
            <w:tcW w:w="710"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p>
        </w:tc>
        <w:tc>
          <w:tcPr>
            <w:tcW w:w="666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2.规模较大、危险性较高的易燃易爆物品、危险化学品等危险物品的生产、经营、储存单位应当成立应急处置技术组，实行24小时应急值班。</w:t>
            </w:r>
          </w:p>
        </w:tc>
        <w:tc>
          <w:tcPr>
            <w:tcW w:w="5527"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《生产安全事故应急条例》第十四条。</w:t>
            </w:r>
          </w:p>
        </w:tc>
      </w:tr>
      <w:tr>
        <w:tblPrEx>
          <w:tblCellMar>
            <w:top w:w="0" w:type="dxa"/>
            <w:left w:w="108" w:type="dxa"/>
            <w:bottom w:w="0" w:type="dxa"/>
            <w:right w:w="108" w:type="dxa"/>
          </w:tblCellMar>
        </w:tblPrEx>
        <w:trPr>
          <w:trHeight w:val="3989"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事故信息接报</w:t>
            </w:r>
          </w:p>
        </w:tc>
        <w:tc>
          <w:tcPr>
            <w:tcW w:w="6663"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1.明确事故信息接收、通报程序和责任人；</w:t>
            </w:r>
          </w:p>
          <w:p>
            <w:pPr>
              <w:widowControl/>
              <w:spacing w:line="240" w:lineRule="exact"/>
              <w:jc w:val="left"/>
              <w:rPr>
                <w:rFonts w:ascii="楷体_GB2312" w:hAnsi="宋体" w:eastAsia="楷体_GB2312" w:cs="宋体"/>
                <w:color w:val="000000" w:themeColor="text1"/>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w:t>
            </w:r>
            <w:r>
              <w:rPr>
                <w:rFonts w:ascii="楷体_GB2312" w:hAnsi="宋体" w:eastAsia="楷体_GB2312" w:cs="宋体"/>
                <w:color w:val="000000" w:themeColor="text1"/>
                <w:szCs w:val="21"/>
                <w14:textFill>
                  <w14:solidFill>
                    <w14:schemeClr w14:val="tx1"/>
                  </w14:solidFill>
                </w14:textFill>
              </w:rPr>
              <w:t>事故发生后，事故现场有关人员应当立即向本单位负责人报告;单位负责人接到报告后，应当于1小时内向事故发生地县级以上人民政府安全生产监督管理部门和负有安全生产监督管理职责的有关部门报告</w:t>
            </w:r>
            <w:r>
              <w:rPr>
                <w:rFonts w:hint="eastAsia" w:ascii="楷体_GB2312" w:hAnsi="宋体" w:eastAsia="楷体_GB2312" w:cs="宋体"/>
                <w:color w:val="000000" w:themeColor="text1"/>
                <w:szCs w:val="21"/>
                <w14:textFill>
                  <w14:solidFill>
                    <w14:schemeClr w14:val="tx1"/>
                  </w14:solidFill>
                </w14:textFill>
              </w:rPr>
              <w:t>；</w:t>
            </w:r>
          </w:p>
          <w:p>
            <w:pPr>
              <w:widowControl/>
              <w:spacing w:line="240" w:lineRule="exact"/>
              <w:jc w:val="left"/>
              <w:rPr>
                <w:rFonts w:ascii="楷体_GB2312" w:hAnsi="宋体" w:eastAsia="楷体_GB2312" w:cs="宋体"/>
                <w:color w:val="000000" w:themeColor="text1"/>
                <w:kern w:val="0"/>
                <w:szCs w:val="21"/>
                <w14:textFill>
                  <w14:solidFill>
                    <w14:schemeClr w14:val="tx1"/>
                  </w14:solidFill>
                </w14:textFill>
              </w:rPr>
            </w:pPr>
            <w:r>
              <w:rPr>
                <w:rFonts w:ascii="楷体_GB2312" w:hAnsi="宋体" w:eastAsia="楷体_GB2312" w:cs="宋体"/>
                <w:color w:val="000000" w:themeColor="text1"/>
                <w:kern w:val="0"/>
                <w:szCs w:val="21"/>
                <w14:textFill>
                  <w14:solidFill>
                    <w14:schemeClr w14:val="tx1"/>
                  </w14:solidFill>
                </w14:textFill>
              </w:rPr>
              <w:t>情况紧急时，事故现场有关人员可以直接向事故发生地县级以上人民政府安全生产监督管理部门和负有安全生产监督管理职责的有关部门报告</w:t>
            </w:r>
            <w:r>
              <w:rPr>
                <w:rFonts w:hint="eastAsia" w:ascii="楷体_GB2312" w:hAnsi="宋体" w:eastAsia="楷体_GB2312" w:cs="宋体"/>
                <w:color w:val="000000" w:themeColor="text1"/>
                <w:kern w:val="0"/>
                <w:szCs w:val="21"/>
                <w14:textFill>
                  <w14:solidFill>
                    <w14:schemeClr w14:val="tx1"/>
                  </w14:solidFill>
                </w14:textFill>
              </w:rPr>
              <w:t>；</w:t>
            </w:r>
          </w:p>
          <w:p>
            <w:pPr>
              <w:widowControl/>
              <w:spacing w:line="24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3.报告事故应当包括下列内容：</w:t>
            </w:r>
          </w:p>
          <w:p>
            <w:pPr>
              <w:widowControl/>
              <w:spacing w:line="24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（1）事故发生单位概况；</w:t>
            </w:r>
          </w:p>
          <w:p>
            <w:pPr>
              <w:widowControl/>
              <w:spacing w:line="24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（2）事故发生的时间、地点以及事故现场情况；</w:t>
            </w:r>
          </w:p>
          <w:p>
            <w:pPr>
              <w:widowControl/>
              <w:spacing w:line="24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（3）事故的简要经过；</w:t>
            </w:r>
          </w:p>
          <w:p>
            <w:pPr>
              <w:widowControl/>
              <w:spacing w:line="24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（4）事故已经造成或者可能造成的伤亡人数（包括下落不明的人数）和初步估计的直接经济损失；</w:t>
            </w:r>
          </w:p>
          <w:p>
            <w:pPr>
              <w:widowControl/>
              <w:spacing w:line="240" w:lineRule="exact"/>
              <w:jc w:val="left"/>
              <w:rPr>
                <w:rFonts w:ascii="楷体_GB2312" w:eastAsia="楷体_GB2312"/>
                <w:color w:val="000000" w:themeColor="text1"/>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（5）已经采取的措施。</w:t>
            </w:r>
          </w:p>
          <w:p>
            <w:pPr>
              <w:widowControl/>
              <w:spacing w:line="24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eastAsia="楷体_GB2312"/>
                <w:color w:val="000000" w:themeColor="text1"/>
                <w:szCs w:val="21"/>
                <w14:textFill>
                  <w14:solidFill>
                    <w14:schemeClr w14:val="tx1"/>
                  </w14:solidFill>
                </w14:textFill>
              </w:rPr>
              <w:t>4.事故报告应当及时、准确、完整，任何单位和个人对事故不得迟报、漏报、谎报或者瞒报。</w:t>
            </w:r>
          </w:p>
        </w:tc>
        <w:tc>
          <w:tcPr>
            <w:tcW w:w="5527"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1.《中华人民共和国安全生产法》第八十条。</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w:t>
            </w:r>
            <w:r>
              <w:rPr>
                <w:rFonts w:ascii="楷体_GB2312" w:hAnsi="宋体" w:eastAsia="楷体_GB2312" w:cs="宋体"/>
                <w:color w:val="000000" w:themeColor="text1"/>
                <w:kern w:val="0"/>
                <w:szCs w:val="21"/>
                <w14:textFill>
                  <w14:solidFill>
                    <w14:schemeClr w14:val="tx1"/>
                  </w14:solidFill>
                </w14:textFill>
              </w:rPr>
              <w:t>《生产安全事故报告和调查处理条例》</w:t>
            </w:r>
            <w:r>
              <w:rPr>
                <w:rFonts w:hint="eastAsia" w:ascii="楷体_GB2312" w:hAnsi="宋体" w:eastAsia="楷体_GB2312" w:cs="宋体"/>
                <w:color w:val="000000" w:themeColor="text1"/>
                <w:kern w:val="0"/>
                <w:szCs w:val="21"/>
                <w14:textFill>
                  <w14:solidFill>
                    <w14:schemeClr w14:val="tx1"/>
                  </w14:solidFill>
                </w14:textFill>
              </w:rPr>
              <w:t>第四条、第九条、第十二条。</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3.《生产经营单位生产安全事故应急预案编制导则》（GB/T 29639-2013） 6.4.2信息报告。</w:t>
            </w:r>
          </w:p>
          <w:p>
            <w:pPr>
              <w:widowControl/>
              <w:jc w:val="left"/>
              <w:rPr>
                <w:rFonts w:ascii="楷体_GB2312" w:hAnsi="宋体" w:eastAsia="楷体_GB2312"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952"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对外通报</w:t>
            </w:r>
          </w:p>
        </w:tc>
        <w:tc>
          <w:tcPr>
            <w:tcW w:w="666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明确事故发生后向本单位以外的有关部门或单位通报事故信息的方法、程序和责任人。</w:t>
            </w:r>
          </w:p>
        </w:tc>
        <w:tc>
          <w:tcPr>
            <w:tcW w:w="5527"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《生产经营单位生产安全事故应急预案编制导则 》（GB/T 29639-2013 ）第6.4.2信息报告。</w:t>
            </w:r>
          </w:p>
        </w:tc>
      </w:tr>
    </w:tbl>
    <w:p>
      <w:pPr>
        <w:spacing w:line="560" w:lineRule="exact"/>
        <w:jc w:val="center"/>
        <w:rPr>
          <w:rFonts w:ascii="华文中宋" w:hAnsi="华文中宋" w:eastAsia="华文中宋" w:cs="宋体"/>
          <w:color w:val="000000" w:themeColor="text1"/>
          <w:kern w:val="0"/>
          <w:sz w:val="44"/>
          <w:szCs w:val="44"/>
          <w14:textFill>
            <w14:solidFill>
              <w14:schemeClr w14:val="tx1"/>
            </w14:solidFill>
          </w14:textFill>
        </w:rPr>
      </w:pPr>
      <w:r>
        <w:rPr>
          <w:rFonts w:hint="eastAsia" w:ascii="华文中宋" w:hAnsi="华文中宋" w:eastAsia="华文中宋" w:cs="宋体"/>
          <w:color w:val="000000" w:themeColor="text1"/>
          <w:kern w:val="0"/>
          <w:sz w:val="44"/>
          <w:szCs w:val="44"/>
          <w14:textFill>
            <w14:solidFill>
              <w14:schemeClr w14:val="tx1"/>
            </w14:solidFill>
          </w14:textFill>
        </w:rPr>
        <w:t>危险化学品企业生产安全事故应急准备工作表</w:t>
      </w:r>
    </w:p>
    <w:p>
      <w:pPr>
        <w:spacing w:line="560" w:lineRule="exact"/>
        <w:jc w:val="left"/>
        <w:rPr>
          <w:rFonts w:ascii="楷体_GB2312" w:hAnsi="宋体" w:eastAsia="楷体_GB2312" w:cs="宋体"/>
          <w:b/>
          <w:color w:val="000000" w:themeColor="text1"/>
          <w:kern w:val="0"/>
          <w:szCs w:val="21"/>
          <w14:textFill>
            <w14:solidFill>
              <w14:schemeClr w14:val="tx1"/>
            </w14:solidFill>
          </w14:textFill>
        </w:rPr>
      </w:pPr>
      <w:r>
        <w:rPr>
          <w:rFonts w:hint="eastAsia" w:ascii="楷体_GB2312" w:hAnsi="宋体" w:eastAsia="楷体_GB2312" w:cs="宋体"/>
          <w:b/>
          <w:color w:val="000000" w:themeColor="text1"/>
          <w:kern w:val="0"/>
          <w:szCs w:val="21"/>
          <w14:textFill>
            <w14:solidFill>
              <w14:schemeClr w14:val="tx1"/>
            </w14:solidFill>
          </w14:textFill>
        </w:rPr>
        <w:t>要素9：信息管理</w:t>
      </w:r>
    </w:p>
    <w:tbl>
      <w:tblPr>
        <w:tblStyle w:val="11"/>
        <w:tblW w:w="14034" w:type="dxa"/>
        <w:tblInd w:w="-318" w:type="dxa"/>
        <w:tblLayout w:type="fixed"/>
        <w:tblCellMar>
          <w:top w:w="0" w:type="dxa"/>
          <w:left w:w="108" w:type="dxa"/>
          <w:bottom w:w="0" w:type="dxa"/>
          <w:right w:w="108" w:type="dxa"/>
        </w:tblCellMar>
      </w:tblPr>
      <w:tblGrid>
        <w:gridCol w:w="710"/>
        <w:gridCol w:w="1134"/>
        <w:gridCol w:w="4536"/>
        <w:gridCol w:w="7654"/>
      </w:tblGrid>
      <w:tr>
        <w:tblPrEx>
          <w:tblCellMar>
            <w:top w:w="0" w:type="dxa"/>
            <w:left w:w="108" w:type="dxa"/>
            <w:bottom w:w="0" w:type="dxa"/>
            <w:right w:w="108" w:type="dxa"/>
          </w:tblCellMar>
        </w:tblPrEx>
        <w:trPr>
          <w:trHeight w:val="393"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序号</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项目</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内容</w:t>
            </w:r>
          </w:p>
        </w:tc>
        <w:tc>
          <w:tcPr>
            <w:tcW w:w="76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依据</w:t>
            </w:r>
          </w:p>
        </w:tc>
      </w:tr>
      <w:tr>
        <w:tblPrEx>
          <w:tblCellMar>
            <w:top w:w="0" w:type="dxa"/>
            <w:left w:w="108" w:type="dxa"/>
            <w:bottom w:w="0" w:type="dxa"/>
            <w:right w:w="108" w:type="dxa"/>
          </w:tblCellMar>
        </w:tblPrEx>
        <w:trPr>
          <w:trHeight w:val="1654" w:hRule="atLeast"/>
        </w:trPr>
        <w:tc>
          <w:tcPr>
            <w:tcW w:w="710"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w:t>
            </w:r>
          </w:p>
        </w:tc>
        <w:tc>
          <w:tcPr>
            <w:tcW w:w="1134" w:type="dxa"/>
            <w:vMerge w:val="restart"/>
            <w:tcBorders>
              <w:top w:val="nil"/>
              <w:left w:val="nil"/>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应急救援信息</w:t>
            </w:r>
          </w:p>
        </w:tc>
        <w:tc>
          <w:tcPr>
            <w:tcW w:w="4536"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1.有关生产工艺信息。</w:t>
            </w:r>
          </w:p>
        </w:tc>
        <w:tc>
          <w:tcPr>
            <w:tcW w:w="7654"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1.《危险化学品重大危险源监督管理暂行规定》（国家安全生产监督管理总局令第40号，根据国家安全监管总局令第79号修正）第十三条。</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2.《生产经营单位生产安全事故应急预案编制导则》（GB/T29639-2013）8.3（b）现场应急处置措施。</w:t>
            </w:r>
          </w:p>
        </w:tc>
      </w:tr>
      <w:tr>
        <w:tblPrEx>
          <w:tblCellMar>
            <w:top w:w="0" w:type="dxa"/>
            <w:left w:w="108" w:type="dxa"/>
            <w:bottom w:w="0" w:type="dxa"/>
            <w:right w:w="108" w:type="dxa"/>
          </w:tblCellMar>
        </w:tblPrEx>
        <w:trPr>
          <w:trHeight w:val="1845" w:hRule="atLeast"/>
        </w:trPr>
        <w:tc>
          <w:tcPr>
            <w:tcW w:w="710" w:type="dxa"/>
            <w:vMerge w:val="continue"/>
            <w:tcBorders>
              <w:left w:val="single" w:color="auto" w:sz="4" w:space="0"/>
              <w:right w:val="single" w:color="auto" w:sz="4" w:space="0"/>
            </w:tcBorders>
            <w:shd w:val="clear" w:color="auto" w:fill="auto"/>
            <w:vAlign w:val="center"/>
          </w:tcPr>
          <w:p>
            <w:pPr>
              <w:jc w:val="center"/>
              <w:rPr>
                <w:rFonts w:ascii="楷体_GB2312" w:hAnsi="宋体" w:eastAsia="楷体_GB2312" w:cs="宋体"/>
                <w:color w:val="000000" w:themeColor="text1"/>
                <w:kern w:val="0"/>
                <w:szCs w:val="21"/>
                <w14:textFill>
                  <w14:solidFill>
                    <w14:schemeClr w14:val="tx1"/>
                  </w14:solidFill>
                </w14:textFill>
              </w:rPr>
            </w:pPr>
          </w:p>
        </w:tc>
        <w:tc>
          <w:tcPr>
            <w:tcW w:w="1134" w:type="dxa"/>
            <w:vMerge w:val="continue"/>
            <w:tcBorders>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4536"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2.本单位危险化学品安全技术说明书。</w:t>
            </w:r>
          </w:p>
        </w:tc>
        <w:tc>
          <w:tcPr>
            <w:tcW w:w="7654"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1.《危险化学品重大危险源监督管理暂行规定》（国家安全生产监督管理总局令第40号，根据国家安全监管总局令第79号修正）第十三条。</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2.《化学品安全技术说明书 内容和项目顺序》（GB/T16483-2008）3.5提供物质综合性信息。</w:t>
            </w:r>
          </w:p>
        </w:tc>
      </w:tr>
      <w:tr>
        <w:tblPrEx>
          <w:tblCellMar>
            <w:top w:w="0" w:type="dxa"/>
            <w:left w:w="108" w:type="dxa"/>
            <w:bottom w:w="0" w:type="dxa"/>
            <w:right w:w="108" w:type="dxa"/>
          </w:tblCellMar>
        </w:tblPrEx>
        <w:trPr>
          <w:trHeight w:val="1468" w:hRule="atLeast"/>
        </w:trPr>
        <w:tc>
          <w:tcPr>
            <w:tcW w:w="710"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1134" w:type="dxa"/>
            <w:vMerge w:val="continue"/>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4536" w:type="dxa"/>
            <w:tcBorders>
              <w:top w:val="single" w:color="auto" w:sz="4" w:space="0"/>
              <w:left w:val="nil"/>
              <w:bottom w:val="single" w:color="auto" w:sz="4" w:space="0"/>
              <w:right w:val="single" w:color="auto" w:sz="4" w:space="0"/>
            </w:tcBorders>
            <w:shd w:val="clear" w:color="auto" w:fill="auto"/>
            <w:vAlign w:val="center"/>
          </w:tcPr>
          <w:p>
            <w:pP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3.应急预案、专业应急队伍、兼职应急队伍、应急专家及其他信息。</w:t>
            </w:r>
          </w:p>
        </w:tc>
        <w:tc>
          <w:tcPr>
            <w:tcW w:w="765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《生产经营单位生产安全事故应急预案编制导则》（GB/T29639-2013）6.8.2应急队伍保障、6.8.4其他保障。</w:t>
            </w:r>
          </w:p>
        </w:tc>
      </w:tr>
      <w:tr>
        <w:tblPrEx>
          <w:tblCellMar>
            <w:top w:w="0" w:type="dxa"/>
            <w:left w:w="108" w:type="dxa"/>
            <w:bottom w:w="0" w:type="dxa"/>
            <w:right w:w="108" w:type="dxa"/>
          </w:tblCellMar>
        </w:tblPrEx>
        <w:trPr>
          <w:trHeight w:val="1631"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信息保障</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1.建立有线与无线相结合的应急通信保障系统，确保事故应对工作的通信畅通；</w:t>
            </w:r>
          </w:p>
          <w:p>
            <w:pPr>
              <w:widowControl/>
              <w:spacing w:line="26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2.坚持信息畅通、协同应对的原则，保证与救援各方实时传输语音、视频、文字、数据等信息，与外部救援力量顺畅协同应对。</w:t>
            </w:r>
          </w:p>
        </w:tc>
        <w:tc>
          <w:tcPr>
            <w:tcW w:w="765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1.《中华人民共和国突发事件应对法》第三十三条。</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2.《危险化学品事故应急救援指挥导则》（AQ/T 3052-2015）4 基本原则。</w:t>
            </w:r>
          </w:p>
          <w:p>
            <w:pPr>
              <w:widowControl/>
              <w:jc w:val="left"/>
              <w:rPr>
                <w:rFonts w:ascii="楷体_GB2312" w:hAnsi="宋体" w:eastAsia="楷体_GB2312" w:cs="宋体"/>
                <w:color w:val="000000" w:themeColor="text1"/>
                <w:kern w:val="0"/>
                <w:szCs w:val="21"/>
                <w14:textFill>
                  <w14:solidFill>
                    <w14:schemeClr w14:val="tx1"/>
                  </w14:solidFill>
                </w14:textFill>
              </w:rPr>
            </w:pPr>
          </w:p>
        </w:tc>
      </w:tr>
    </w:tbl>
    <w:p>
      <w:pPr>
        <w:spacing w:line="560" w:lineRule="exact"/>
        <w:jc w:val="left"/>
        <w:rPr>
          <w:rFonts w:ascii="仿宋_GB2312" w:hAnsi="宋体" w:eastAsia="仿宋_GB2312"/>
          <w:color w:val="000000" w:themeColor="text1"/>
          <w:sz w:val="32"/>
          <w:szCs w:val="32"/>
          <w14:textFill>
            <w14:solidFill>
              <w14:schemeClr w14:val="tx1"/>
            </w14:solidFill>
          </w14:textFill>
        </w:rPr>
      </w:pPr>
    </w:p>
    <w:p>
      <w:pPr>
        <w:spacing w:line="560" w:lineRule="exact"/>
        <w:jc w:val="center"/>
        <w:rPr>
          <w:rFonts w:ascii="华文中宋" w:hAnsi="华文中宋" w:eastAsia="华文中宋" w:cs="宋体"/>
          <w:color w:val="000000" w:themeColor="text1"/>
          <w:kern w:val="0"/>
          <w:sz w:val="30"/>
          <w:szCs w:val="30"/>
          <w14:textFill>
            <w14:solidFill>
              <w14:schemeClr w14:val="tx1"/>
            </w14:solidFill>
          </w14:textFill>
        </w:rPr>
      </w:pPr>
      <w:r>
        <w:rPr>
          <w:rFonts w:hint="eastAsia" w:ascii="华文中宋" w:hAnsi="华文中宋" w:eastAsia="华文中宋" w:cs="宋体"/>
          <w:color w:val="000000" w:themeColor="text1"/>
          <w:kern w:val="0"/>
          <w:sz w:val="44"/>
          <w:szCs w:val="44"/>
          <w14:textFill>
            <w14:solidFill>
              <w14:schemeClr w14:val="tx1"/>
            </w14:solidFill>
          </w14:textFill>
        </w:rPr>
        <w:t>危险化学品企业生产安全事故应急准备工作表</w:t>
      </w:r>
    </w:p>
    <w:p>
      <w:pPr>
        <w:spacing w:line="560" w:lineRule="exact"/>
        <w:jc w:val="left"/>
        <w:rPr>
          <w:rFonts w:ascii="楷体_GB2312" w:hAnsi="宋体" w:eastAsia="楷体_GB2312" w:cs="宋体"/>
          <w:b/>
          <w:color w:val="000000" w:themeColor="text1"/>
          <w:kern w:val="0"/>
          <w:szCs w:val="21"/>
          <w14:textFill>
            <w14:solidFill>
              <w14:schemeClr w14:val="tx1"/>
            </w14:solidFill>
          </w14:textFill>
        </w:rPr>
      </w:pPr>
      <w:r>
        <w:rPr>
          <w:rFonts w:hint="eastAsia" w:ascii="楷体_GB2312" w:hAnsi="宋体" w:eastAsia="楷体_GB2312" w:cs="宋体"/>
          <w:b/>
          <w:color w:val="000000" w:themeColor="text1"/>
          <w:kern w:val="0"/>
          <w:szCs w:val="21"/>
          <w14:textFill>
            <w14:solidFill>
              <w14:schemeClr w14:val="tx1"/>
            </w14:solidFill>
          </w14:textFill>
        </w:rPr>
        <w:t>要素10：装备设施</w:t>
      </w:r>
    </w:p>
    <w:tbl>
      <w:tblPr>
        <w:tblStyle w:val="11"/>
        <w:tblW w:w="14034" w:type="dxa"/>
        <w:tblInd w:w="-318" w:type="dxa"/>
        <w:tblLayout w:type="fixed"/>
        <w:tblCellMar>
          <w:top w:w="0" w:type="dxa"/>
          <w:left w:w="108" w:type="dxa"/>
          <w:bottom w:w="0" w:type="dxa"/>
          <w:right w:w="108" w:type="dxa"/>
        </w:tblCellMar>
      </w:tblPr>
      <w:tblGrid>
        <w:gridCol w:w="710"/>
        <w:gridCol w:w="1137"/>
        <w:gridCol w:w="7084"/>
        <w:gridCol w:w="5103"/>
      </w:tblGrid>
      <w:tr>
        <w:tblPrEx>
          <w:tblCellMar>
            <w:top w:w="0" w:type="dxa"/>
            <w:left w:w="108" w:type="dxa"/>
            <w:bottom w:w="0" w:type="dxa"/>
            <w:right w:w="108" w:type="dxa"/>
          </w:tblCellMar>
        </w:tblPrEx>
        <w:trPr>
          <w:trHeight w:val="408"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序号</w:t>
            </w:r>
          </w:p>
        </w:tc>
        <w:tc>
          <w:tcPr>
            <w:tcW w:w="113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项目</w:t>
            </w:r>
          </w:p>
        </w:tc>
        <w:tc>
          <w:tcPr>
            <w:tcW w:w="708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内容</w:t>
            </w:r>
          </w:p>
        </w:tc>
        <w:tc>
          <w:tcPr>
            <w:tcW w:w="510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依据</w:t>
            </w:r>
          </w:p>
        </w:tc>
      </w:tr>
      <w:tr>
        <w:tblPrEx>
          <w:tblCellMar>
            <w:top w:w="0" w:type="dxa"/>
            <w:left w:w="108" w:type="dxa"/>
            <w:bottom w:w="0" w:type="dxa"/>
            <w:right w:w="108" w:type="dxa"/>
          </w:tblCellMar>
        </w:tblPrEx>
        <w:trPr>
          <w:trHeight w:val="1174" w:hRule="atLeast"/>
        </w:trPr>
        <w:tc>
          <w:tcPr>
            <w:tcW w:w="710"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w:t>
            </w:r>
          </w:p>
        </w:tc>
        <w:tc>
          <w:tcPr>
            <w:tcW w:w="1137"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应急设施</w:t>
            </w:r>
          </w:p>
        </w:tc>
        <w:tc>
          <w:tcPr>
            <w:tcW w:w="7084"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消防设施。根据《建筑设计防火规范》《石油化工企业设计防火标准》《化工企业安全卫生设计规范》等标准，配备移动、固定消防设施，并依据企业的规模、火灾危险性、固定消防设施的设置情况，以及邻近单位消防协作条件等因素确定消防执勤站级别和车辆、装备。</w:t>
            </w:r>
          </w:p>
        </w:tc>
        <w:tc>
          <w:tcPr>
            <w:tcW w:w="5103"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1.《石油化工企业设计防火标准》（GB50160-2008，2018年版）8.2消防站。</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2.《化工企业安全卫生设计规范》（HG20571-2014 ）7.4消防站。</w:t>
            </w:r>
          </w:p>
        </w:tc>
      </w:tr>
      <w:tr>
        <w:tblPrEx>
          <w:tblCellMar>
            <w:top w:w="0" w:type="dxa"/>
            <w:left w:w="108" w:type="dxa"/>
            <w:bottom w:w="0" w:type="dxa"/>
            <w:right w:w="108" w:type="dxa"/>
          </w:tblCellMar>
        </w:tblPrEx>
        <w:trPr>
          <w:trHeight w:val="1269" w:hRule="atLeast"/>
        </w:trPr>
        <w:tc>
          <w:tcPr>
            <w:tcW w:w="710" w:type="dxa"/>
            <w:vMerge w:val="continue"/>
            <w:tcBorders>
              <w:left w:val="single" w:color="auto" w:sz="4" w:space="0"/>
              <w:right w:val="single" w:color="auto" w:sz="4" w:space="0"/>
            </w:tcBorders>
            <w:shd w:val="clear" w:color="auto" w:fill="auto"/>
            <w:vAlign w:val="center"/>
          </w:tcPr>
          <w:p>
            <w:pPr>
              <w:jc w:val="center"/>
              <w:rPr>
                <w:rFonts w:ascii="楷体_GB2312" w:hAnsi="宋体" w:eastAsia="楷体_GB2312" w:cs="宋体"/>
                <w:color w:val="000000" w:themeColor="text1"/>
                <w:kern w:val="0"/>
                <w:szCs w:val="21"/>
                <w14:textFill>
                  <w14:solidFill>
                    <w14:schemeClr w14:val="tx1"/>
                  </w14:solidFill>
                </w14:textFill>
              </w:rPr>
            </w:pPr>
          </w:p>
        </w:tc>
        <w:tc>
          <w:tcPr>
            <w:tcW w:w="1137" w:type="dxa"/>
            <w:vMerge w:val="continue"/>
            <w:tcBorders>
              <w:left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p>
        </w:tc>
        <w:tc>
          <w:tcPr>
            <w:tcW w:w="7084" w:type="dxa"/>
            <w:tcBorders>
              <w:top w:val="nil"/>
              <w:left w:val="nil"/>
              <w:bottom w:val="single" w:color="auto" w:sz="4" w:space="0"/>
              <w:right w:val="single" w:color="auto" w:sz="4" w:space="0"/>
            </w:tcBorders>
            <w:shd w:val="clear" w:color="auto" w:fill="auto"/>
            <w:vAlign w:val="center"/>
          </w:tcPr>
          <w:p>
            <w:pPr>
              <w:widowControl/>
              <w:spacing w:line="220" w:lineRule="exac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2.气防设施。</w:t>
            </w:r>
          </w:p>
          <w:p>
            <w:pPr>
              <w:widowControl/>
              <w:spacing w:line="220" w:lineRule="exac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（1）大量生产、储存和使用有毒有害气体并危害人身安全的化工企业应设置气体防护站；</w:t>
            </w:r>
          </w:p>
          <w:p>
            <w:pPr>
              <w:widowControl/>
              <w:spacing w:line="220" w:lineRule="exac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（2）气体防护站应按《化工企业安全卫生设计规范》规定进行建设,足额配备气体防护装备和人员；</w:t>
            </w:r>
          </w:p>
          <w:p>
            <w:pPr>
              <w:widowControl/>
              <w:spacing w:line="220" w:lineRule="exac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（3）生产、储存和使用氯气、氨气、光气、硫化氢等吸入性有毒有害气体的企业，构成重大危险源的，应当设立气体防护站（组）。</w:t>
            </w:r>
          </w:p>
        </w:tc>
        <w:tc>
          <w:tcPr>
            <w:tcW w:w="5103"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1.《危险化学品生产企业安全生产许可证实施办法》（国家安全监管总局令第41号，根据国家安全监管总局令第89号修正）第二十一条。</w:t>
            </w:r>
          </w:p>
          <w:p>
            <w:pPr>
              <w:widowControl/>
              <w:spacing w:line="26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2.《化工企业安全卫生设计规范》（HG20571-2014）7.3气体防护站。</w:t>
            </w:r>
          </w:p>
        </w:tc>
      </w:tr>
      <w:tr>
        <w:tblPrEx>
          <w:tblCellMar>
            <w:top w:w="0" w:type="dxa"/>
            <w:left w:w="108" w:type="dxa"/>
            <w:bottom w:w="0" w:type="dxa"/>
            <w:right w:w="108" w:type="dxa"/>
          </w:tblCellMar>
        </w:tblPrEx>
        <w:trPr>
          <w:trHeight w:val="721" w:hRule="atLeast"/>
        </w:trPr>
        <w:tc>
          <w:tcPr>
            <w:tcW w:w="710" w:type="dxa"/>
            <w:vMerge w:val="continue"/>
            <w:tcBorders>
              <w:left w:val="single" w:color="auto" w:sz="4" w:space="0"/>
              <w:right w:val="single" w:color="auto" w:sz="4" w:space="0"/>
            </w:tcBorders>
            <w:shd w:val="clear" w:color="auto" w:fill="auto"/>
            <w:vAlign w:val="center"/>
          </w:tcPr>
          <w:p>
            <w:pPr>
              <w:jc w:val="center"/>
              <w:rPr>
                <w:rFonts w:ascii="楷体_GB2312" w:hAnsi="宋体" w:eastAsia="楷体_GB2312" w:cs="宋体"/>
                <w:color w:val="000000" w:themeColor="text1"/>
                <w:kern w:val="0"/>
                <w:szCs w:val="21"/>
                <w14:textFill>
                  <w14:solidFill>
                    <w14:schemeClr w14:val="tx1"/>
                  </w14:solidFill>
                </w14:textFill>
              </w:rPr>
            </w:pPr>
          </w:p>
        </w:tc>
        <w:tc>
          <w:tcPr>
            <w:tcW w:w="1137" w:type="dxa"/>
            <w:vMerge w:val="continue"/>
            <w:tcBorders>
              <w:left w:val="single" w:color="auto" w:sz="4" w:space="0"/>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p>
        </w:tc>
        <w:tc>
          <w:tcPr>
            <w:tcW w:w="7084"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3.防尘防毒、防化学灼伤设施。在液体毒性危害严重的场所、具有化学灼伤的作业场所，应设置洗眼器、淋洗器等安全防护措施，洗眼器、淋洗器的服务半径不应大于15米。</w:t>
            </w:r>
          </w:p>
        </w:tc>
        <w:tc>
          <w:tcPr>
            <w:tcW w:w="5103" w:type="dxa"/>
            <w:tcBorders>
              <w:top w:val="nil"/>
              <w:left w:val="nil"/>
              <w:bottom w:val="single" w:color="auto" w:sz="4" w:space="0"/>
              <w:right w:val="single" w:color="auto" w:sz="4" w:space="0"/>
            </w:tcBorders>
            <w:shd w:val="clear" w:color="auto" w:fill="auto"/>
            <w:vAlign w:val="center"/>
          </w:tcPr>
          <w:p>
            <w:pPr>
              <w:widowControl/>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《化工企业安全卫生设计规范》（HG20571-2014）5.1.6、5.6.5。</w:t>
            </w:r>
          </w:p>
        </w:tc>
      </w:tr>
      <w:tr>
        <w:tblPrEx>
          <w:tblCellMar>
            <w:top w:w="0" w:type="dxa"/>
            <w:left w:w="108" w:type="dxa"/>
            <w:bottom w:w="0" w:type="dxa"/>
            <w:right w:w="108" w:type="dxa"/>
          </w:tblCellMar>
        </w:tblPrEx>
        <w:trPr>
          <w:trHeight w:val="965" w:hRule="atLeast"/>
        </w:trPr>
        <w:tc>
          <w:tcPr>
            <w:tcW w:w="710" w:type="dxa"/>
            <w:vMerge w:val="continue"/>
            <w:tcBorders>
              <w:left w:val="single" w:color="auto" w:sz="4" w:space="0"/>
              <w:right w:val="single" w:color="auto" w:sz="4" w:space="0"/>
            </w:tcBorders>
            <w:shd w:val="clear" w:color="auto" w:fill="auto"/>
            <w:vAlign w:val="center"/>
          </w:tcPr>
          <w:p>
            <w:pPr>
              <w:jc w:val="center"/>
              <w:rPr>
                <w:rFonts w:ascii="楷体_GB2312" w:hAnsi="宋体" w:eastAsia="楷体_GB2312" w:cs="宋体"/>
                <w:color w:val="000000" w:themeColor="text1"/>
                <w:kern w:val="0"/>
                <w:szCs w:val="21"/>
                <w14:textFill>
                  <w14:solidFill>
                    <w14:schemeClr w14:val="tx1"/>
                  </w14:solidFill>
                </w14:textFill>
              </w:rPr>
            </w:pPr>
          </w:p>
        </w:tc>
        <w:tc>
          <w:tcPr>
            <w:tcW w:w="1137" w:type="dxa"/>
            <w:vMerge w:val="continue"/>
            <w:tcBorders>
              <w:left w:val="single" w:color="auto" w:sz="4" w:space="0"/>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p>
        </w:tc>
        <w:tc>
          <w:tcPr>
            <w:tcW w:w="7084"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4.紧急切断设施。对重大危险源中的毒性气体、剧毒液体和易燃气体等重点设施，设置紧急切断装置；毒性气体的设施，设置泄漏物紧急处置装置。</w:t>
            </w:r>
          </w:p>
        </w:tc>
        <w:tc>
          <w:tcPr>
            <w:tcW w:w="5103"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《危险化学品重大危险源监督管理暂行规定》（国家安全生产监督管理总局令第40号，根据国家安全监管总局令第79号修正）第十三条。</w:t>
            </w:r>
          </w:p>
        </w:tc>
      </w:tr>
      <w:tr>
        <w:tblPrEx>
          <w:tblCellMar>
            <w:top w:w="0" w:type="dxa"/>
            <w:left w:w="108" w:type="dxa"/>
            <w:bottom w:w="0" w:type="dxa"/>
            <w:right w:w="108" w:type="dxa"/>
          </w:tblCellMar>
        </w:tblPrEx>
        <w:trPr>
          <w:trHeight w:val="408" w:hRule="atLeast"/>
        </w:trPr>
        <w:tc>
          <w:tcPr>
            <w:tcW w:w="710"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113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7084"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5.应急事故池。有满足事故状态下临时贮存废水、防止漫流的应急事故池。</w:t>
            </w:r>
          </w:p>
        </w:tc>
        <w:tc>
          <w:tcPr>
            <w:tcW w:w="510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《化工建设项目环境保护设计规范》（GB50483-2009）6.6事故应急措施。</w:t>
            </w:r>
          </w:p>
        </w:tc>
      </w:tr>
      <w:tr>
        <w:tblPrEx>
          <w:tblCellMar>
            <w:top w:w="0" w:type="dxa"/>
            <w:left w:w="108" w:type="dxa"/>
            <w:bottom w:w="0" w:type="dxa"/>
            <w:right w:w="108" w:type="dxa"/>
          </w:tblCellMar>
        </w:tblPrEx>
        <w:trPr>
          <w:trHeight w:val="1399"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w:t>
            </w:r>
          </w:p>
        </w:tc>
        <w:tc>
          <w:tcPr>
            <w:tcW w:w="1137"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应急物资装备</w:t>
            </w:r>
          </w:p>
        </w:tc>
        <w:tc>
          <w:tcPr>
            <w:tcW w:w="7084"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1.根据本单位危险化学品的种类、数量和危险化学品事故可能造成的危害进行配置，按照《危险化学品单位应急救援物资配备要求》（GB 30077）配备相应应急物资；</w:t>
            </w:r>
          </w:p>
          <w:p>
            <w:pPr>
              <w:widowControl/>
              <w:spacing w:line="24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2.生产、储存和使用氯气、氨气、光气、硫化氢等吸入性有毒有害气体的企业，还应当配备至少2套以上全封闭防化服。</w:t>
            </w:r>
          </w:p>
        </w:tc>
        <w:tc>
          <w:tcPr>
            <w:tcW w:w="5103" w:type="dxa"/>
            <w:tcBorders>
              <w:top w:val="single" w:color="auto" w:sz="4" w:space="0"/>
              <w:left w:val="nil"/>
              <w:bottom w:val="single" w:color="auto" w:sz="4" w:space="0"/>
              <w:right w:val="single" w:color="auto" w:sz="4" w:space="0"/>
            </w:tcBorders>
            <w:shd w:val="clear" w:color="auto" w:fill="auto"/>
            <w:vAlign w:val="center"/>
          </w:tcPr>
          <w:p>
            <w:pPr>
              <w:widowControl/>
              <w:spacing w:line="220" w:lineRule="exac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1.《中华人民共和国安全生产法》第七十九条。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2.《危险化学品生产企业安全生产许可证实施办法》（国家安全监管总局令第41号，根据国家安全监管总局令第89号修正）第二十一条。</w:t>
            </w:r>
          </w:p>
          <w:p>
            <w:pPr>
              <w:widowControl/>
              <w:spacing w:line="220" w:lineRule="exac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3.《危险化学品单位应急救援物资配备要求》（GB 30077-2013）。</w:t>
            </w:r>
          </w:p>
        </w:tc>
      </w:tr>
      <w:tr>
        <w:tblPrEx>
          <w:tblCellMar>
            <w:top w:w="0" w:type="dxa"/>
            <w:left w:w="108" w:type="dxa"/>
            <w:bottom w:w="0" w:type="dxa"/>
            <w:right w:w="108" w:type="dxa"/>
          </w:tblCellMar>
        </w:tblPrEx>
        <w:trPr>
          <w:trHeight w:val="667"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w:t>
            </w:r>
          </w:p>
        </w:tc>
        <w:tc>
          <w:tcPr>
            <w:tcW w:w="113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维护管理</w:t>
            </w:r>
          </w:p>
        </w:tc>
        <w:tc>
          <w:tcPr>
            <w:tcW w:w="7084"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建立应急设施和物资装备的管理制度和台账清单，按要求经常性维护、保养，确保完好。</w:t>
            </w:r>
          </w:p>
        </w:tc>
        <w:tc>
          <w:tcPr>
            <w:tcW w:w="510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1.《中华人民共和国安全生产法》第七十九条。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2.《生产安全事故应急条例》第十三条。</w:t>
            </w:r>
          </w:p>
        </w:tc>
      </w:tr>
    </w:tbl>
    <w:p>
      <w:pPr>
        <w:spacing w:line="560" w:lineRule="exact"/>
        <w:jc w:val="center"/>
        <w:rPr>
          <w:rFonts w:ascii="华文中宋" w:hAnsi="华文中宋" w:eastAsia="华文中宋" w:cs="宋体"/>
          <w:color w:val="000000" w:themeColor="text1"/>
          <w:kern w:val="0"/>
          <w:sz w:val="30"/>
          <w:szCs w:val="30"/>
          <w14:textFill>
            <w14:solidFill>
              <w14:schemeClr w14:val="tx1"/>
            </w14:solidFill>
          </w14:textFill>
        </w:rPr>
      </w:pPr>
      <w:r>
        <w:rPr>
          <w:rFonts w:hint="eastAsia" w:ascii="华文中宋" w:hAnsi="华文中宋" w:eastAsia="华文中宋" w:cs="宋体"/>
          <w:color w:val="000000" w:themeColor="text1"/>
          <w:kern w:val="0"/>
          <w:sz w:val="44"/>
          <w:szCs w:val="44"/>
          <w14:textFill>
            <w14:solidFill>
              <w14:schemeClr w14:val="tx1"/>
            </w14:solidFill>
          </w14:textFill>
        </w:rPr>
        <w:t>危险化学品企业生产安全事故应急准备工作表</w:t>
      </w:r>
    </w:p>
    <w:p>
      <w:pPr>
        <w:spacing w:line="560" w:lineRule="exact"/>
        <w:jc w:val="left"/>
        <w:rPr>
          <w:rFonts w:ascii="楷体_GB2312" w:hAnsi="宋体" w:eastAsia="楷体_GB2312" w:cs="宋体"/>
          <w:b/>
          <w:color w:val="000000" w:themeColor="text1"/>
          <w:kern w:val="0"/>
          <w:szCs w:val="21"/>
          <w14:textFill>
            <w14:solidFill>
              <w14:schemeClr w14:val="tx1"/>
            </w14:solidFill>
          </w14:textFill>
        </w:rPr>
      </w:pPr>
      <w:r>
        <w:rPr>
          <w:rFonts w:hint="eastAsia" w:ascii="楷体_GB2312" w:hAnsi="宋体" w:eastAsia="楷体_GB2312" w:cs="宋体"/>
          <w:b/>
          <w:color w:val="000000" w:themeColor="text1"/>
          <w:kern w:val="0"/>
          <w:szCs w:val="21"/>
          <w14:textFill>
            <w14:solidFill>
              <w14:schemeClr w14:val="tx1"/>
            </w14:solidFill>
          </w14:textFill>
        </w:rPr>
        <w:t>要素11：救援队伍建设</w:t>
      </w:r>
    </w:p>
    <w:tbl>
      <w:tblPr>
        <w:tblStyle w:val="11"/>
        <w:tblW w:w="14034" w:type="dxa"/>
        <w:tblInd w:w="-318" w:type="dxa"/>
        <w:tblLayout w:type="fixed"/>
        <w:tblCellMar>
          <w:top w:w="0" w:type="dxa"/>
          <w:left w:w="108" w:type="dxa"/>
          <w:bottom w:w="0" w:type="dxa"/>
          <w:right w:w="108" w:type="dxa"/>
        </w:tblCellMar>
      </w:tblPr>
      <w:tblGrid>
        <w:gridCol w:w="710"/>
        <w:gridCol w:w="1134"/>
        <w:gridCol w:w="4536"/>
        <w:gridCol w:w="7654"/>
      </w:tblGrid>
      <w:tr>
        <w:tblPrEx>
          <w:tblCellMar>
            <w:top w:w="0" w:type="dxa"/>
            <w:left w:w="108" w:type="dxa"/>
            <w:bottom w:w="0" w:type="dxa"/>
            <w:right w:w="108" w:type="dxa"/>
          </w:tblCellMar>
        </w:tblPrEx>
        <w:trPr>
          <w:cantSplit/>
          <w:trHeight w:val="408"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序号</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项目</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内容</w:t>
            </w:r>
          </w:p>
        </w:tc>
        <w:tc>
          <w:tcPr>
            <w:tcW w:w="76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依据</w:t>
            </w:r>
          </w:p>
        </w:tc>
      </w:tr>
      <w:tr>
        <w:tblPrEx>
          <w:tblCellMar>
            <w:top w:w="0" w:type="dxa"/>
            <w:left w:w="108" w:type="dxa"/>
            <w:bottom w:w="0" w:type="dxa"/>
            <w:right w:w="108" w:type="dxa"/>
          </w:tblCellMar>
        </w:tblPrEx>
        <w:trPr>
          <w:cantSplit/>
          <w:trHeight w:val="2121"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队伍设置</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1.危险化学品生产、经营、储存企业应当建立应急救援队伍；</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2.危险化学品生产、经营、储存企业中小型企业或者微型企业等规模较小的，可以不建立应急救援队伍，但应当指定兼职的应急救援人员，并且可以与邻近的应急救援队伍签订应急救援协议；</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3.工业园区、开发区等产业聚集区域内的危险化学品生产、经营、储存企业，可以联合建立应急救援队伍。</w:t>
            </w:r>
          </w:p>
        </w:tc>
        <w:tc>
          <w:tcPr>
            <w:tcW w:w="765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1.《中华人民共和国安全生产法》第七十九条。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2.《消防法》第三十九条。</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3.《生产安全事故应急条例》第十条。</w:t>
            </w:r>
          </w:p>
          <w:p>
            <w:pPr>
              <w:jc w:val="left"/>
              <w:rPr>
                <w:rFonts w:ascii="楷体_GB2312" w:hAnsi="宋体" w:eastAsia="楷体_GB2312"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cantSplit/>
          <w:trHeight w:val="1448"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能力要求</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应急救援人员应当具备必要的专业知识、技能、身体素质和心理素质。</w:t>
            </w:r>
          </w:p>
        </w:tc>
        <w:tc>
          <w:tcPr>
            <w:tcW w:w="765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1.《生产安全事故应急条例》第十一条。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2.《危险化学品应急救援管理人员培训及考核要求》（AQ/T3043-2013 ）6 考核标准。</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3.《国家安全监管总局关于加强矿山危险化学品应急救援骨干队伍建设的指导意见》（安监总应急〔2009〕126号）三、建设任务（二）队伍素质。</w:t>
            </w:r>
          </w:p>
        </w:tc>
      </w:tr>
      <w:tr>
        <w:tblPrEx>
          <w:tblCellMar>
            <w:top w:w="0" w:type="dxa"/>
            <w:left w:w="108" w:type="dxa"/>
            <w:bottom w:w="0" w:type="dxa"/>
            <w:right w:w="108" w:type="dxa"/>
          </w:tblCellMar>
        </w:tblPrEx>
        <w:trPr>
          <w:cantSplit/>
          <w:trHeight w:val="1565" w:hRule="atLeast"/>
        </w:trPr>
        <w:tc>
          <w:tcPr>
            <w:tcW w:w="710"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w:t>
            </w:r>
          </w:p>
        </w:tc>
        <w:tc>
          <w:tcPr>
            <w:tcW w:w="1134" w:type="dxa"/>
            <w:vMerge w:val="restart"/>
            <w:tcBorders>
              <w:top w:val="single" w:color="auto" w:sz="4" w:space="0"/>
              <w:left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队伍管理</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应制定应急救援人员教育培训计划，使其熟练掌握本企业应急处置程序和自救互救常识，避免盲目指挥、盲目施救。按照《危险化学品应急救援管理人员培训及考核要求》（AQ/T3043-2013），对危险化学品应急救援队伍负责人进行教育培训。</w:t>
            </w:r>
          </w:p>
        </w:tc>
        <w:tc>
          <w:tcPr>
            <w:tcW w:w="765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1.《危险化学品应急救援管理人员培训及考核要求》（AQ/T3043-2013） 5培训内容。</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2.《国家安全监管总局关于加强科学施救提高生产安全事故灾难应急救援水平的指导意见》（安监总应急〔2012〕147号）（十五）加强高危行业企业相关人员的培训教育。</w:t>
            </w:r>
          </w:p>
        </w:tc>
      </w:tr>
      <w:tr>
        <w:tblPrEx>
          <w:tblCellMar>
            <w:top w:w="0" w:type="dxa"/>
            <w:left w:w="108" w:type="dxa"/>
            <w:bottom w:w="0" w:type="dxa"/>
            <w:right w:w="108" w:type="dxa"/>
          </w:tblCellMar>
        </w:tblPrEx>
        <w:trPr>
          <w:cantSplit/>
          <w:trHeight w:val="1115" w:hRule="atLeast"/>
        </w:trPr>
        <w:tc>
          <w:tcPr>
            <w:tcW w:w="710"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1134" w:type="dxa"/>
            <w:vMerge w:val="continue"/>
            <w:tcBorders>
              <w:left w:val="single" w:color="auto" w:sz="4" w:space="0"/>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2.根据企业可能发生的生产安全事故的特点和危害，配备必要的应急救援装备和物资，定期组织训练，并经常维护、保养，保证正常运转。</w:t>
            </w:r>
          </w:p>
        </w:tc>
        <w:tc>
          <w:tcPr>
            <w:tcW w:w="765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《生产安全事故应急条例》第十一条、第十三条。</w:t>
            </w:r>
          </w:p>
        </w:tc>
      </w:tr>
    </w:tbl>
    <w:p>
      <w:pPr>
        <w:spacing w:line="560" w:lineRule="exact"/>
        <w:jc w:val="left"/>
        <w:rPr>
          <w:rFonts w:ascii="仿宋_GB2312" w:hAnsi="宋体" w:eastAsia="仿宋_GB2312"/>
          <w:color w:val="000000" w:themeColor="text1"/>
          <w:sz w:val="32"/>
          <w:szCs w:val="32"/>
          <w14:textFill>
            <w14:solidFill>
              <w14:schemeClr w14:val="tx1"/>
            </w14:solidFill>
          </w14:textFill>
        </w:rPr>
      </w:pPr>
      <w:r>
        <w:rPr>
          <w:rFonts w:hint="eastAsia" w:ascii="楷体_GB2312" w:hAnsi="宋体" w:eastAsia="楷体_GB2312" w:cs="宋体"/>
          <w:b/>
          <w:color w:val="000000" w:themeColor="text1"/>
          <w:kern w:val="0"/>
          <w:szCs w:val="21"/>
          <w14:textFill>
            <w14:solidFill>
              <w14:schemeClr w14:val="tx1"/>
            </w14:solidFill>
          </w14:textFill>
        </w:rPr>
        <w:t>要素11：救援队伍建设（续）</w:t>
      </w:r>
    </w:p>
    <w:tbl>
      <w:tblPr>
        <w:tblStyle w:val="11"/>
        <w:tblW w:w="14034" w:type="dxa"/>
        <w:tblInd w:w="-318" w:type="dxa"/>
        <w:tblLayout w:type="fixed"/>
        <w:tblCellMar>
          <w:top w:w="0" w:type="dxa"/>
          <w:left w:w="108" w:type="dxa"/>
          <w:bottom w:w="0" w:type="dxa"/>
          <w:right w:w="108" w:type="dxa"/>
        </w:tblCellMar>
      </w:tblPr>
      <w:tblGrid>
        <w:gridCol w:w="710"/>
        <w:gridCol w:w="1134"/>
        <w:gridCol w:w="4536"/>
        <w:gridCol w:w="7654"/>
      </w:tblGrid>
      <w:tr>
        <w:tblPrEx>
          <w:tblCellMar>
            <w:top w:w="0" w:type="dxa"/>
            <w:left w:w="108" w:type="dxa"/>
            <w:bottom w:w="0" w:type="dxa"/>
            <w:right w:w="108" w:type="dxa"/>
          </w:tblCellMar>
        </w:tblPrEx>
        <w:trPr>
          <w:cantSplit/>
          <w:trHeight w:val="408"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序号</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项目</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内容</w:t>
            </w:r>
          </w:p>
        </w:tc>
        <w:tc>
          <w:tcPr>
            <w:tcW w:w="76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依据</w:t>
            </w:r>
          </w:p>
        </w:tc>
      </w:tr>
      <w:tr>
        <w:tblPrEx>
          <w:tblCellMar>
            <w:top w:w="0" w:type="dxa"/>
            <w:left w:w="108" w:type="dxa"/>
            <w:bottom w:w="0" w:type="dxa"/>
            <w:right w:w="108" w:type="dxa"/>
          </w:tblCellMar>
        </w:tblPrEx>
        <w:trPr>
          <w:cantSplit/>
          <w:trHeight w:val="2548" w:hRule="atLeast"/>
        </w:trPr>
        <w:tc>
          <w:tcPr>
            <w:tcW w:w="710" w:type="dxa"/>
            <w:vMerge w:val="restart"/>
            <w:tcBorders>
              <w:top w:val="single" w:color="auto" w:sz="4" w:space="0"/>
              <w:left w:val="single" w:color="auto" w:sz="4" w:space="0"/>
              <w:right w:val="single" w:color="auto" w:sz="4" w:space="0"/>
            </w:tcBorders>
            <w:shd w:val="clear" w:color="auto" w:fill="auto"/>
            <w:vAlign w:val="center"/>
          </w:tcPr>
          <w:p>
            <w:pPr>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w:t>
            </w:r>
          </w:p>
        </w:tc>
        <w:tc>
          <w:tcPr>
            <w:tcW w:w="1134" w:type="dxa"/>
            <w:vMerge w:val="restart"/>
            <w:tcBorders>
              <w:top w:val="single" w:color="auto" w:sz="4" w:space="0"/>
              <w:left w:val="nil"/>
              <w:right w:val="single" w:color="auto" w:sz="4" w:space="0"/>
            </w:tcBorders>
            <w:shd w:val="clear" w:color="auto" w:fill="auto"/>
            <w:vAlign w:val="center"/>
          </w:tcPr>
          <w:p>
            <w:pPr>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队伍管理</w:t>
            </w:r>
          </w:p>
        </w:tc>
        <w:tc>
          <w:tcPr>
            <w:tcW w:w="4536" w:type="dxa"/>
            <w:tcBorders>
              <w:top w:val="single" w:color="auto" w:sz="4" w:space="0"/>
              <w:left w:val="nil"/>
              <w:bottom w:val="single" w:color="auto" w:sz="4" w:space="0"/>
              <w:right w:val="single" w:color="auto" w:sz="4" w:space="0"/>
            </w:tcBorders>
            <w:shd w:val="clear" w:color="auto" w:fill="auto"/>
            <w:vAlign w:val="center"/>
          </w:tcPr>
          <w:p>
            <w:pPr>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3.应加强战训管理（含演练、技战术研究），开展形式多样的应急演练，掌握处置要点，优化处置方案。</w:t>
            </w:r>
          </w:p>
        </w:tc>
        <w:tc>
          <w:tcPr>
            <w:tcW w:w="7654" w:type="dxa"/>
            <w:tcBorders>
              <w:top w:val="single" w:color="auto" w:sz="4" w:space="0"/>
              <w:left w:val="nil"/>
              <w:bottom w:val="single" w:color="auto" w:sz="4" w:space="0"/>
              <w:right w:val="single" w:color="auto" w:sz="4" w:space="0"/>
            </w:tcBorders>
            <w:shd w:val="clear" w:color="auto" w:fill="auto"/>
            <w:vAlign w:val="center"/>
          </w:tcPr>
          <w:p>
            <w:pPr>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1.《生产安全事故应急演练评估规范》（AQ/T 9009-2015）附录A实战演练评估。</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2.《国家安全监管总局关于加强科学施救提高生产安全事故灾难应急救援水平的指导意见》（安监总应急〔2012〕147号）（十四）加强应急预案与演练工作。</w:t>
            </w:r>
          </w:p>
        </w:tc>
      </w:tr>
      <w:tr>
        <w:tblPrEx>
          <w:tblCellMar>
            <w:top w:w="0" w:type="dxa"/>
            <w:left w:w="108" w:type="dxa"/>
            <w:bottom w:w="0" w:type="dxa"/>
            <w:right w:w="108" w:type="dxa"/>
          </w:tblCellMar>
        </w:tblPrEx>
        <w:trPr>
          <w:cantSplit/>
          <w:trHeight w:val="1165" w:hRule="atLeast"/>
        </w:trPr>
        <w:tc>
          <w:tcPr>
            <w:tcW w:w="710"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1134" w:type="dxa"/>
            <w:vMerge w:val="continue"/>
            <w:tcBorders>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4. 建立应急值班制度，配备应急值班人员。</w:t>
            </w:r>
          </w:p>
        </w:tc>
        <w:tc>
          <w:tcPr>
            <w:tcW w:w="765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《生产安全事故应急条例》第十四条。</w:t>
            </w:r>
          </w:p>
        </w:tc>
      </w:tr>
      <w:tr>
        <w:tblPrEx>
          <w:tblCellMar>
            <w:top w:w="0" w:type="dxa"/>
            <w:left w:w="108" w:type="dxa"/>
            <w:bottom w:w="0" w:type="dxa"/>
            <w:right w:w="108" w:type="dxa"/>
          </w:tblCellMar>
        </w:tblPrEx>
        <w:trPr>
          <w:cantSplit/>
          <w:trHeight w:val="2965"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4</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对外公布与调动</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1.生产经营单位应当及时将本单位应急救援队伍建立情况按照国家有关规定报送县级以上人民政府负有安全生产监督管理职责的部门，并依法向社会公布；</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2.应急救援队伍接到有关人民政府及其部门的救援命令或者签有应急救援协议的生产经营单位的救援请求后，应当立即参加生产安全事故应急救援。</w:t>
            </w:r>
          </w:p>
        </w:tc>
        <w:tc>
          <w:tcPr>
            <w:tcW w:w="765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《生产安全事故应急条例》第十二条、第十九条。</w:t>
            </w:r>
          </w:p>
        </w:tc>
      </w:tr>
    </w:tbl>
    <w:p>
      <w:pPr>
        <w:widowControl/>
        <w:jc w:val="left"/>
        <w:rPr>
          <w:rFonts w:ascii="华文中宋" w:hAnsi="华文中宋" w:eastAsia="华文中宋" w:cs="宋体"/>
          <w:color w:val="000000" w:themeColor="text1"/>
          <w:kern w:val="0"/>
          <w:sz w:val="30"/>
          <w:szCs w:val="30"/>
          <w14:textFill>
            <w14:solidFill>
              <w14:schemeClr w14:val="tx1"/>
            </w14:solidFill>
          </w14:textFill>
        </w:rPr>
      </w:pPr>
      <w:r>
        <w:rPr>
          <w:rFonts w:ascii="华文中宋" w:hAnsi="华文中宋" w:eastAsia="华文中宋" w:cs="宋体"/>
          <w:color w:val="000000" w:themeColor="text1"/>
          <w:kern w:val="0"/>
          <w:sz w:val="30"/>
          <w:szCs w:val="30"/>
          <w14:textFill>
            <w14:solidFill>
              <w14:schemeClr w14:val="tx1"/>
            </w14:solidFill>
          </w14:textFill>
        </w:rPr>
        <w:br w:type="page"/>
      </w:r>
    </w:p>
    <w:p>
      <w:pPr>
        <w:spacing w:line="560" w:lineRule="exact"/>
        <w:jc w:val="center"/>
        <w:rPr>
          <w:rFonts w:ascii="华文中宋" w:hAnsi="华文中宋" w:eastAsia="华文中宋" w:cs="宋体"/>
          <w:color w:val="000000" w:themeColor="text1"/>
          <w:kern w:val="0"/>
          <w:sz w:val="44"/>
          <w:szCs w:val="44"/>
          <w14:textFill>
            <w14:solidFill>
              <w14:schemeClr w14:val="tx1"/>
            </w14:solidFill>
          </w14:textFill>
        </w:rPr>
      </w:pPr>
      <w:r>
        <w:rPr>
          <w:rFonts w:hint="eastAsia" w:ascii="华文中宋" w:hAnsi="华文中宋" w:eastAsia="华文中宋" w:cs="宋体"/>
          <w:color w:val="000000" w:themeColor="text1"/>
          <w:kern w:val="0"/>
          <w:sz w:val="44"/>
          <w:szCs w:val="44"/>
          <w14:textFill>
            <w14:solidFill>
              <w14:schemeClr w14:val="tx1"/>
            </w14:solidFill>
          </w14:textFill>
        </w:rPr>
        <w:t>危险化学品企业生产安全事故应急准备工作表</w:t>
      </w:r>
    </w:p>
    <w:p>
      <w:pPr>
        <w:spacing w:line="560" w:lineRule="exact"/>
        <w:jc w:val="left"/>
        <w:rPr>
          <w:rFonts w:ascii="楷体_GB2312" w:hAnsi="宋体" w:eastAsia="楷体_GB2312" w:cs="宋体"/>
          <w:b/>
          <w:color w:val="000000" w:themeColor="text1"/>
          <w:kern w:val="0"/>
          <w:szCs w:val="21"/>
          <w14:textFill>
            <w14:solidFill>
              <w14:schemeClr w14:val="tx1"/>
            </w14:solidFill>
          </w14:textFill>
        </w:rPr>
      </w:pPr>
      <w:r>
        <w:rPr>
          <w:rFonts w:hint="eastAsia" w:ascii="楷体_GB2312" w:hAnsi="宋体" w:eastAsia="楷体_GB2312" w:cs="宋体"/>
          <w:b/>
          <w:color w:val="000000" w:themeColor="text1"/>
          <w:kern w:val="0"/>
          <w:szCs w:val="21"/>
          <w14:textFill>
            <w14:solidFill>
              <w14:schemeClr w14:val="tx1"/>
            </w14:solidFill>
          </w14:textFill>
        </w:rPr>
        <w:t>要素12：应急处置与救援</w:t>
      </w:r>
    </w:p>
    <w:tbl>
      <w:tblPr>
        <w:tblStyle w:val="11"/>
        <w:tblW w:w="14034" w:type="dxa"/>
        <w:tblInd w:w="-318" w:type="dxa"/>
        <w:tblLayout w:type="fixed"/>
        <w:tblCellMar>
          <w:top w:w="0" w:type="dxa"/>
          <w:left w:w="108" w:type="dxa"/>
          <w:bottom w:w="0" w:type="dxa"/>
          <w:right w:w="108" w:type="dxa"/>
        </w:tblCellMar>
      </w:tblPr>
      <w:tblGrid>
        <w:gridCol w:w="710"/>
        <w:gridCol w:w="1134"/>
        <w:gridCol w:w="4536"/>
        <w:gridCol w:w="7654"/>
      </w:tblGrid>
      <w:tr>
        <w:tblPrEx>
          <w:tblCellMar>
            <w:top w:w="0" w:type="dxa"/>
            <w:left w:w="108" w:type="dxa"/>
            <w:bottom w:w="0" w:type="dxa"/>
            <w:right w:w="108" w:type="dxa"/>
          </w:tblCellMar>
        </w:tblPrEx>
        <w:trPr>
          <w:trHeight w:val="450"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序号</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项目</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内容</w:t>
            </w:r>
          </w:p>
        </w:tc>
        <w:tc>
          <w:tcPr>
            <w:tcW w:w="76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依据</w:t>
            </w:r>
          </w:p>
        </w:tc>
      </w:tr>
      <w:tr>
        <w:tblPrEx>
          <w:tblCellMar>
            <w:top w:w="0" w:type="dxa"/>
            <w:left w:w="108" w:type="dxa"/>
            <w:bottom w:w="0" w:type="dxa"/>
            <w:right w:w="108" w:type="dxa"/>
          </w:tblCellMar>
        </w:tblPrEx>
        <w:trPr>
          <w:trHeight w:val="1916"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应急指挥与救援组织</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1.明确应急组织形式及组成单位或人员及其职责。应急组织机构根据事故类型和应急工作需要，可设置相应的应急工作小组，并明确各小组的工作任务及职责；</w:t>
            </w:r>
          </w:p>
          <w:p>
            <w:pPr>
              <w:widowControl/>
              <w:spacing w:line="26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2.救援队伍指挥员应当作为指挥部成员，充分运用应急指挥“一张图”等信息化手段参与制订救援方案等重大决策。</w:t>
            </w:r>
          </w:p>
        </w:tc>
        <w:tc>
          <w:tcPr>
            <w:tcW w:w="765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1.《国务院安委会关于进一步加强生产安全事故应急处置工作的通知》（安委〔2013〕8号）三、进一步规范事故现场应急处置（四）确保安全有效施救。</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2.《生产经营单位生产安全事故应急预案编制导则》（GB/T29639-2013） 6.3应急组织机构及职责、7.2应急指挥机构及职责、8.2应急工作职责。</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w:t>
            </w:r>
            <w:r>
              <w:rPr>
                <w:rFonts w:ascii="楷体_GB2312" w:hAnsi="宋体" w:eastAsia="楷体_GB2312" w:cs="宋体"/>
                <w:color w:val="000000" w:themeColor="text1"/>
                <w:kern w:val="0"/>
                <w:szCs w:val="21"/>
                <w14:textFill>
                  <w14:solidFill>
                    <w14:schemeClr w14:val="tx1"/>
                  </w14:solidFill>
                </w14:textFill>
              </w:rPr>
              <w:t>.</w:t>
            </w:r>
            <w:r>
              <w:rPr>
                <w:rFonts w:hint="eastAsia" w:ascii="楷体_GB2312" w:hAnsi="宋体" w:eastAsia="楷体_GB2312" w:cs="宋体"/>
                <w:color w:val="000000" w:themeColor="text1"/>
                <w:kern w:val="0"/>
                <w:szCs w:val="21"/>
                <w14:textFill>
                  <w14:solidFill>
                    <w14:schemeClr w14:val="tx1"/>
                  </w14:solidFill>
                </w14:textFill>
              </w:rPr>
              <w:t xml:space="preserve"> 《生产安全事故应急条例》第二十条、二十一条。</w:t>
            </w:r>
          </w:p>
        </w:tc>
      </w:tr>
      <w:tr>
        <w:tblPrEx>
          <w:tblCellMar>
            <w:top w:w="0" w:type="dxa"/>
            <w:left w:w="108" w:type="dxa"/>
            <w:bottom w:w="0" w:type="dxa"/>
            <w:right w:w="108" w:type="dxa"/>
          </w:tblCellMar>
        </w:tblPrEx>
        <w:trPr>
          <w:trHeight w:val="2813"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应急救援基本原则</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1.坚持救人第一、防止灾害扩大的原则。在保障施救人员安全的前提下，迅速救人抢险；</w:t>
            </w:r>
          </w:p>
          <w:p>
            <w:pPr>
              <w:widowControl/>
              <w:spacing w:line="26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2.坚持统一领导、科学决策的原则。现场指挥部负责现场具体处置，重大决策由总指挥部决定；</w:t>
            </w:r>
          </w:p>
          <w:p>
            <w:pPr>
              <w:widowControl/>
              <w:spacing w:line="26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3.坚持信息畅通、协同应对的原则。总指挥部、现场指挥部与救援队伍应保证实时互通信息，与外部救援力量协同应对；</w:t>
            </w:r>
          </w:p>
          <w:p>
            <w:pPr>
              <w:widowControl/>
              <w:spacing w:line="26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4.坚持保护环境，减少污染的原则；</w:t>
            </w:r>
          </w:p>
          <w:p>
            <w:pPr>
              <w:widowControl/>
              <w:spacing w:line="26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5.在救援过程中</w:t>
            </w:r>
            <w:r>
              <w:rPr>
                <w:rFonts w:ascii="楷体_GB2312" w:hAnsi="宋体" w:eastAsia="楷体_GB2312" w:cs="宋体"/>
                <w:color w:val="000000" w:themeColor="text1"/>
                <w:kern w:val="0"/>
                <w:szCs w:val="21"/>
                <w14:textFill>
                  <w14:solidFill>
                    <w14:schemeClr w14:val="tx1"/>
                  </w14:solidFill>
                </w14:textFill>
              </w:rPr>
              <w:t>，有关单位和人员应</w:t>
            </w:r>
            <w:r>
              <w:rPr>
                <w:rFonts w:hint="eastAsia" w:ascii="楷体_GB2312" w:hAnsi="宋体" w:eastAsia="楷体_GB2312" w:cs="宋体"/>
                <w:color w:val="000000" w:themeColor="text1"/>
                <w:kern w:val="0"/>
                <w:szCs w:val="21"/>
                <w14:textFill>
                  <w14:solidFill>
                    <w14:schemeClr w14:val="tx1"/>
                  </w14:solidFill>
                </w14:textFill>
              </w:rPr>
              <w:t>考虑</w:t>
            </w:r>
            <w:r>
              <w:rPr>
                <w:rFonts w:ascii="楷体_GB2312" w:hAnsi="宋体" w:eastAsia="楷体_GB2312" w:cs="宋体"/>
                <w:color w:val="000000" w:themeColor="text1"/>
                <w:kern w:val="0"/>
                <w:szCs w:val="21"/>
                <w14:textFill>
                  <w14:solidFill>
                    <w14:schemeClr w14:val="tx1"/>
                  </w14:solidFill>
                </w14:textFill>
              </w:rPr>
              <w:t>妥善保护事故现场以及相关证据</w:t>
            </w:r>
            <w:r>
              <w:rPr>
                <w:rFonts w:hint="eastAsia" w:ascii="楷体_GB2312" w:hAnsi="宋体" w:eastAsia="楷体_GB2312" w:cs="宋体"/>
                <w:color w:val="000000" w:themeColor="text1"/>
                <w:kern w:val="0"/>
                <w:szCs w:val="21"/>
                <w14:textFill>
                  <w14:solidFill>
                    <w14:schemeClr w14:val="tx1"/>
                  </w14:solidFill>
                </w14:textFill>
              </w:rPr>
              <w:t>。</w:t>
            </w:r>
          </w:p>
        </w:tc>
        <w:tc>
          <w:tcPr>
            <w:tcW w:w="7654" w:type="dxa"/>
            <w:tcBorders>
              <w:top w:val="single" w:color="auto" w:sz="4" w:space="0"/>
              <w:left w:val="nil"/>
              <w:bottom w:val="single" w:color="auto" w:sz="4" w:space="0"/>
              <w:right w:val="single" w:color="auto" w:sz="4" w:space="0"/>
            </w:tcBorders>
            <w:shd w:val="clear" w:color="auto" w:fill="auto"/>
            <w:vAlign w:val="center"/>
          </w:tcPr>
          <w:p>
            <w:pPr>
              <w:spacing w:line="560" w:lineRule="exact"/>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《危险化学品事故应急救援指挥导则》（AQ/T 3052-2015）4 基本原则。</w:t>
            </w:r>
          </w:p>
          <w:p>
            <w:pPr>
              <w:widowControl/>
              <w:jc w:val="left"/>
              <w:rPr>
                <w:rFonts w:ascii="楷体_GB2312" w:hAnsi="宋体" w:eastAsia="楷体_GB2312"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943"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响应分级</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针对事故危害程度、影响范围，对事故应急响应进行分级，明确分级响应的基本原则。</w:t>
            </w:r>
          </w:p>
        </w:tc>
        <w:tc>
          <w:tcPr>
            <w:tcW w:w="765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《生产经营单位生产安全事故应急预案编制导则》（GB/T29639-2013）6.5.1响应分级。</w:t>
            </w:r>
          </w:p>
        </w:tc>
      </w:tr>
      <w:tr>
        <w:tblPrEx>
          <w:tblCellMar>
            <w:top w:w="0" w:type="dxa"/>
            <w:left w:w="108" w:type="dxa"/>
            <w:bottom w:w="0" w:type="dxa"/>
            <w:right w:w="108" w:type="dxa"/>
          </w:tblCellMar>
        </w:tblPrEx>
        <w:trPr>
          <w:trHeight w:val="1206"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4</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总体响应程序</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根据事故级别和发展态势，明确应急指挥机构启动、应急资源调配、应急救援、扩大应急等响应程序。</w:t>
            </w:r>
          </w:p>
        </w:tc>
        <w:tc>
          <w:tcPr>
            <w:tcW w:w="765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《生产经营单位生产安全事故应急预案编制导则》（GB/T29639-2013）6.5.2响应程序。</w:t>
            </w:r>
          </w:p>
        </w:tc>
      </w:tr>
    </w:tbl>
    <w:p>
      <w:pPr>
        <w:spacing w:line="560" w:lineRule="exact"/>
        <w:jc w:val="left"/>
        <w:rPr>
          <w:rFonts w:ascii="楷体_GB2312" w:hAnsi="宋体" w:eastAsia="楷体_GB2312" w:cs="宋体"/>
          <w:b/>
          <w:color w:val="000000" w:themeColor="text1"/>
          <w:kern w:val="0"/>
          <w:szCs w:val="21"/>
          <w14:textFill>
            <w14:solidFill>
              <w14:schemeClr w14:val="tx1"/>
            </w14:solidFill>
          </w14:textFill>
        </w:rPr>
      </w:pPr>
      <w:r>
        <w:rPr>
          <w:rFonts w:hint="eastAsia" w:ascii="楷体_GB2312" w:hAnsi="宋体" w:eastAsia="楷体_GB2312" w:cs="宋体"/>
          <w:b/>
          <w:color w:val="000000" w:themeColor="text1"/>
          <w:kern w:val="0"/>
          <w:szCs w:val="21"/>
          <w14:textFill>
            <w14:solidFill>
              <w14:schemeClr w14:val="tx1"/>
            </w14:solidFill>
          </w14:textFill>
        </w:rPr>
        <w:t>要素12：应急处置与救援（续）</w:t>
      </w:r>
    </w:p>
    <w:tbl>
      <w:tblPr>
        <w:tblStyle w:val="11"/>
        <w:tblW w:w="14034" w:type="dxa"/>
        <w:tblInd w:w="-318" w:type="dxa"/>
        <w:tblLayout w:type="fixed"/>
        <w:tblCellMar>
          <w:top w:w="0" w:type="dxa"/>
          <w:left w:w="108" w:type="dxa"/>
          <w:bottom w:w="0" w:type="dxa"/>
          <w:right w:w="108" w:type="dxa"/>
        </w:tblCellMar>
      </w:tblPr>
      <w:tblGrid>
        <w:gridCol w:w="710"/>
        <w:gridCol w:w="1134"/>
        <w:gridCol w:w="4536"/>
        <w:gridCol w:w="7654"/>
      </w:tblGrid>
      <w:tr>
        <w:tblPrEx>
          <w:tblCellMar>
            <w:top w:w="0" w:type="dxa"/>
            <w:left w:w="108" w:type="dxa"/>
            <w:bottom w:w="0" w:type="dxa"/>
            <w:right w:w="108" w:type="dxa"/>
          </w:tblCellMar>
        </w:tblPrEx>
        <w:trPr>
          <w:trHeight w:val="450"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序号</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项目</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内容</w:t>
            </w:r>
          </w:p>
        </w:tc>
        <w:tc>
          <w:tcPr>
            <w:tcW w:w="76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依据</w:t>
            </w:r>
          </w:p>
        </w:tc>
      </w:tr>
      <w:tr>
        <w:tblPrEx>
          <w:tblCellMar>
            <w:top w:w="0" w:type="dxa"/>
            <w:left w:w="108" w:type="dxa"/>
            <w:bottom w:w="0" w:type="dxa"/>
            <w:right w:w="108" w:type="dxa"/>
          </w:tblCellMar>
        </w:tblPrEx>
        <w:trPr>
          <w:trHeight w:val="1176"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5</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岗位应急程序</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根据可能发生的事故及现场情况，明确事故报警、各项应急措施启动、应急救护人员的引导、事故扩大及同生产经营单位应急预案衔接的程序。</w:t>
            </w:r>
          </w:p>
        </w:tc>
        <w:tc>
          <w:tcPr>
            <w:tcW w:w="765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《生产经营单位生产安全事故应急预案编制导则》（GB/T29639-2013） 8</w:t>
            </w:r>
            <w:r>
              <w:rPr>
                <w:rFonts w:ascii="楷体_GB2312" w:hAnsi="宋体" w:eastAsia="楷体_GB2312" w:cs="宋体"/>
                <w:color w:val="000000" w:themeColor="text1"/>
                <w:kern w:val="0"/>
                <w:szCs w:val="21"/>
                <w14:textFill>
                  <w14:solidFill>
                    <w14:schemeClr w14:val="tx1"/>
                  </w14:solidFill>
                </w14:textFill>
              </w:rPr>
              <w:t>.</w:t>
            </w:r>
            <w:r>
              <w:rPr>
                <w:rFonts w:hint="eastAsia" w:ascii="楷体_GB2312" w:hAnsi="宋体" w:eastAsia="楷体_GB2312" w:cs="宋体"/>
                <w:color w:val="000000" w:themeColor="text1"/>
                <w:kern w:val="0"/>
                <w:szCs w:val="21"/>
                <w14:textFill>
                  <w14:solidFill>
                    <w14:schemeClr w14:val="tx1"/>
                  </w14:solidFill>
                </w14:textFill>
              </w:rPr>
              <w:t>3应急处置。</w:t>
            </w:r>
          </w:p>
        </w:tc>
      </w:tr>
      <w:tr>
        <w:tblPrEx>
          <w:tblCellMar>
            <w:top w:w="0" w:type="dxa"/>
            <w:left w:w="108" w:type="dxa"/>
            <w:bottom w:w="0" w:type="dxa"/>
            <w:right w:w="108" w:type="dxa"/>
          </w:tblCellMar>
        </w:tblPrEx>
        <w:trPr>
          <w:trHeight w:val="2343"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6</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现场应急措施</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针对可能发生的火灾、爆炸、危险化学品泄漏等事故，从警戒隔离、人员救护与防护、遇险人员救护、公众安全防护、装备物资正确选用、工艺操作配合、现场监测、洗消、现场清理等方面制定明确的应急处置措施；</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2.遇到突发情况危及救援人员生命安全时，救援队伍指挥员有权作出处置决定，迅速带领救援人员撤出危险区域，并及时报告指挥部。</w:t>
            </w:r>
          </w:p>
        </w:tc>
        <w:tc>
          <w:tcPr>
            <w:tcW w:w="765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1.《生产经营单位生产安全事故应急预案编制导则》（GB/T29639-2013） 8</w:t>
            </w:r>
            <w:r>
              <w:rPr>
                <w:rFonts w:ascii="楷体_GB2312" w:hAnsi="宋体" w:eastAsia="楷体_GB2312" w:cs="宋体"/>
                <w:color w:val="000000" w:themeColor="text1"/>
                <w:kern w:val="0"/>
                <w:szCs w:val="21"/>
                <w14:textFill>
                  <w14:solidFill>
                    <w14:schemeClr w14:val="tx1"/>
                  </w14:solidFill>
                </w14:textFill>
              </w:rPr>
              <w:t>.</w:t>
            </w:r>
            <w:r>
              <w:rPr>
                <w:rFonts w:hint="eastAsia" w:ascii="楷体_GB2312" w:hAnsi="宋体" w:eastAsia="楷体_GB2312" w:cs="宋体"/>
                <w:color w:val="000000" w:themeColor="text1"/>
                <w:kern w:val="0"/>
                <w:szCs w:val="21"/>
                <w14:textFill>
                  <w14:solidFill>
                    <w14:schemeClr w14:val="tx1"/>
                  </w14:solidFill>
                </w14:textFill>
              </w:rPr>
              <w:t>3应急处置。</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2.《危险化学品事故应急救援指挥导则》（AQ/T 3052-2015）5.2警戒隔离、5.3人员防护与救护、5.4现场处置、5.5现场监测、5.6洗消、5.7现场清理。</w:t>
            </w:r>
          </w:p>
          <w:p>
            <w:pPr>
              <w:widowControl/>
              <w:jc w:val="left"/>
              <w:rPr>
                <w:rFonts w:ascii="楷体_GB2312" w:hAnsi="宋体" w:eastAsia="楷体_GB2312"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2042"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7</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重点监控危险化学品应急处置</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涉及重点监管危险化学品的企业要针对本企业安全生产特点和产品特性，从完善安全监控措施、加强个体防护等方面，提升危险化学品应急处置能力。</w:t>
            </w:r>
          </w:p>
        </w:tc>
        <w:tc>
          <w:tcPr>
            <w:tcW w:w="7654" w:type="dxa"/>
            <w:tcBorders>
              <w:top w:val="single" w:color="auto" w:sz="4" w:space="0"/>
              <w:left w:val="nil"/>
              <w:bottom w:val="single" w:color="auto" w:sz="4" w:space="0"/>
              <w:right w:val="single" w:color="auto" w:sz="4" w:space="0"/>
            </w:tcBorders>
            <w:shd w:val="clear" w:color="auto" w:fill="auto"/>
            <w:vAlign w:val="center"/>
          </w:tcPr>
          <w:p>
            <w:pPr>
              <w:autoSpaceDE w:val="0"/>
              <w:autoSpaceDN w:val="0"/>
              <w:adjustRightInd w:val="0"/>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1.《国家安全监管总局办公厅关于印发首批重点监管的危险化学品安全措施和应急处置原则的通知》（安监总厅管三〔</w:t>
            </w:r>
            <w:r>
              <w:rPr>
                <w:rFonts w:ascii="楷体_GB2312" w:hAnsi="宋体" w:eastAsia="楷体_GB2312" w:cs="宋体"/>
                <w:color w:val="000000" w:themeColor="text1"/>
                <w:kern w:val="0"/>
                <w:szCs w:val="21"/>
                <w14:textFill>
                  <w14:solidFill>
                    <w14:schemeClr w14:val="tx1"/>
                  </w14:solidFill>
                </w14:textFill>
              </w:rPr>
              <w:t>2011</w:t>
            </w:r>
            <w:r>
              <w:rPr>
                <w:rFonts w:hint="eastAsia" w:ascii="楷体_GB2312" w:hAnsi="宋体" w:eastAsia="楷体_GB2312" w:cs="宋体"/>
                <w:color w:val="000000" w:themeColor="text1"/>
                <w:kern w:val="0"/>
                <w:szCs w:val="21"/>
                <w14:textFill>
                  <w14:solidFill>
                    <w14:schemeClr w14:val="tx1"/>
                  </w14:solidFill>
                </w14:textFill>
              </w:rPr>
              <w:t>〕</w:t>
            </w:r>
            <w:r>
              <w:rPr>
                <w:rFonts w:ascii="楷体_GB2312" w:hAnsi="宋体" w:eastAsia="楷体_GB2312" w:cs="宋体"/>
                <w:color w:val="000000" w:themeColor="text1"/>
                <w:kern w:val="0"/>
                <w:szCs w:val="21"/>
                <w14:textFill>
                  <w14:solidFill>
                    <w14:schemeClr w14:val="tx1"/>
                  </w14:solidFill>
                </w14:textFill>
              </w:rPr>
              <w:t xml:space="preserve">142 </w:t>
            </w:r>
            <w:r>
              <w:rPr>
                <w:rFonts w:hint="eastAsia" w:ascii="楷体_GB2312" w:hAnsi="宋体" w:eastAsia="楷体_GB2312" w:cs="宋体"/>
                <w:color w:val="000000" w:themeColor="text1"/>
                <w:kern w:val="0"/>
                <w:szCs w:val="21"/>
                <w14:textFill>
                  <w14:solidFill>
                    <w14:schemeClr w14:val="tx1"/>
                  </w14:solidFill>
                </w14:textFill>
              </w:rPr>
              <w:t>号）有关要求及附件《首批重点监管的危险化学品安全措施和应急处置原则》。</w:t>
            </w:r>
          </w:p>
          <w:p>
            <w:pPr>
              <w:widowControl/>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2.《国家安全监管总局关于公布第二批重点监管危险化学品名录的通知》（安监总管三〔</w:t>
            </w:r>
            <w:r>
              <w:rPr>
                <w:rFonts w:ascii="楷体_GB2312" w:hAnsi="宋体" w:eastAsia="楷体_GB2312" w:cs="宋体"/>
                <w:color w:val="000000" w:themeColor="text1"/>
                <w:kern w:val="0"/>
                <w:szCs w:val="21"/>
                <w14:textFill>
                  <w14:solidFill>
                    <w14:schemeClr w14:val="tx1"/>
                  </w14:solidFill>
                </w14:textFill>
              </w:rPr>
              <w:t>2013</w:t>
            </w:r>
            <w:r>
              <w:rPr>
                <w:rFonts w:hint="eastAsia" w:ascii="楷体_GB2312" w:hAnsi="宋体" w:eastAsia="楷体_GB2312" w:cs="宋体"/>
                <w:color w:val="000000" w:themeColor="text1"/>
                <w:kern w:val="0"/>
                <w:szCs w:val="21"/>
                <w14:textFill>
                  <w14:solidFill>
                    <w14:schemeClr w14:val="tx1"/>
                  </w14:solidFill>
                </w14:textFill>
              </w:rPr>
              <w:t>〕</w:t>
            </w:r>
            <w:r>
              <w:rPr>
                <w:rFonts w:ascii="楷体_GB2312" w:hAnsi="宋体" w:eastAsia="楷体_GB2312" w:cs="宋体"/>
                <w:color w:val="000000" w:themeColor="text1"/>
                <w:kern w:val="0"/>
                <w:szCs w:val="21"/>
                <w14:textFill>
                  <w14:solidFill>
                    <w14:schemeClr w14:val="tx1"/>
                  </w14:solidFill>
                </w14:textFill>
              </w:rPr>
              <w:t xml:space="preserve">12 </w:t>
            </w:r>
            <w:r>
              <w:rPr>
                <w:rFonts w:hint="eastAsia" w:ascii="楷体_GB2312" w:hAnsi="宋体" w:eastAsia="楷体_GB2312" w:cs="宋体"/>
                <w:color w:val="000000" w:themeColor="text1"/>
                <w:kern w:val="0"/>
                <w:szCs w:val="21"/>
                <w14:textFill>
                  <w14:solidFill>
                    <w14:schemeClr w14:val="tx1"/>
                  </w14:solidFill>
                </w14:textFill>
              </w:rPr>
              <w:t>号）附件2《第二批重点监管的危险化学品安全措施和应急处置原则》。</w:t>
            </w:r>
          </w:p>
        </w:tc>
      </w:tr>
      <w:tr>
        <w:tblPrEx>
          <w:tblCellMar>
            <w:top w:w="0" w:type="dxa"/>
            <w:left w:w="108" w:type="dxa"/>
            <w:bottom w:w="0" w:type="dxa"/>
            <w:right w:w="108" w:type="dxa"/>
          </w:tblCellMar>
        </w:tblPrEx>
        <w:trPr>
          <w:trHeight w:val="1616"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8</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配合政府应急处置</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突发事件发生地的其他单位应当服从人民政府发布的决定、命令，配合人民政府采取的应急处置措施，做好本单位的应急救援工作，并积极组织人员参加所在地的应急救援和处置工作。</w:t>
            </w:r>
          </w:p>
        </w:tc>
        <w:tc>
          <w:tcPr>
            <w:tcW w:w="765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《中华人民共和国突发事件应对法》第五十六条。</w:t>
            </w:r>
          </w:p>
        </w:tc>
      </w:tr>
    </w:tbl>
    <w:p>
      <w:pPr>
        <w:widowControl/>
        <w:jc w:val="left"/>
        <w:rPr>
          <w:rFonts w:ascii="华文中宋" w:hAnsi="华文中宋" w:eastAsia="华文中宋" w:cs="宋体"/>
          <w:color w:val="000000" w:themeColor="text1"/>
          <w:kern w:val="0"/>
          <w:sz w:val="30"/>
          <w:szCs w:val="30"/>
          <w14:textFill>
            <w14:solidFill>
              <w14:schemeClr w14:val="tx1"/>
            </w14:solidFill>
          </w14:textFill>
        </w:rPr>
      </w:pPr>
    </w:p>
    <w:p>
      <w:pPr>
        <w:widowControl/>
        <w:jc w:val="left"/>
        <w:rPr>
          <w:rFonts w:ascii="华文中宋" w:hAnsi="华文中宋" w:eastAsia="华文中宋" w:cs="宋体"/>
          <w:color w:val="000000" w:themeColor="text1"/>
          <w:kern w:val="0"/>
          <w:sz w:val="30"/>
          <w:szCs w:val="30"/>
          <w14:textFill>
            <w14:solidFill>
              <w14:schemeClr w14:val="tx1"/>
            </w14:solidFill>
          </w14:textFill>
        </w:rPr>
      </w:pPr>
    </w:p>
    <w:p>
      <w:pPr>
        <w:spacing w:line="560" w:lineRule="exact"/>
        <w:jc w:val="center"/>
        <w:rPr>
          <w:rFonts w:ascii="华文中宋" w:hAnsi="华文中宋" w:eastAsia="华文中宋" w:cs="宋体"/>
          <w:color w:val="000000" w:themeColor="text1"/>
          <w:kern w:val="0"/>
          <w:sz w:val="44"/>
          <w:szCs w:val="44"/>
          <w14:textFill>
            <w14:solidFill>
              <w14:schemeClr w14:val="tx1"/>
            </w14:solidFill>
          </w14:textFill>
        </w:rPr>
      </w:pPr>
      <w:r>
        <w:rPr>
          <w:rFonts w:hint="eastAsia" w:ascii="华文中宋" w:hAnsi="华文中宋" w:eastAsia="华文中宋" w:cs="宋体"/>
          <w:color w:val="000000" w:themeColor="text1"/>
          <w:kern w:val="0"/>
          <w:sz w:val="44"/>
          <w:szCs w:val="44"/>
          <w14:textFill>
            <w14:solidFill>
              <w14:schemeClr w14:val="tx1"/>
            </w14:solidFill>
          </w14:textFill>
        </w:rPr>
        <w:t>危险化学品企业生产安全事故应急准备工作表</w:t>
      </w:r>
    </w:p>
    <w:p>
      <w:pPr>
        <w:spacing w:line="560" w:lineRule="exact"/>
        <w:jc w:val="left"/>
        <w:rPr>
          <w:rFonts w:ascii="楷体_GB2312" w:hAnsi="宋体" w:eastAsia="楷体_GB2312" w:cs="宋体"/>
          <w:b/>
          <w:color w:val="000000" w:themeColor="text1"/>
          <w:kern w:val="0"/>
          <w:szCs w:val="21"/>
          <w14:textFill>
            <w14:solidFill>
              <w14:schemeClr w14:val="tx1"/>
            </w14:solidFill>
          </w14:textFill>
        </w:rPr>
      </w:pPr>
      <w:r>
        <w:rPr>
          <w:rFonts w:hint="eastAsia" w:ascii="楷体_GB2312" w:hAnsi="宋体" w:eastAsia="楷体_GB2312" w:cs="宋体"/>
          <w:b/>
          <w:color w:val="000000" w:themeColor="text1"/>
          <w:kern w:val="0"/>
          <w:szCs w:val="21"/>
          <w14:textFill>
            <w14:solidFill>
              <w14:schemeClr w14:val="tx1"/>
            </w14:solidFill>
          </w14:textFill>
        </w:rPr>
        <w:t>要素13：应急准备恢复</w:t>
      </w:r>
    </w:p>
    <w:tbl>
      <w:tblPr>
        <w:tblStyle w:val="11"/>
        <w:tblW w:w="14034" w:type="dxa"/>
        <w:tblInd w:w="-318" w:type="dxa"/>
        <w:tblLayout w:type="fixed"/>
        <w:tblCellMar>
          <w:top w:w="0" w:type="dxa"/>
          <w:left w:w="108" w:type="dxa"/>
          <w:bottom w:w="0" w:type="dxa"/>
          <w:right w:w="108" w:type="dxa"/>
        </w:tblCellMar>
      </w:tblPr>
      <w:tblGrid>
        <w:gridCol w:w="710"/>
        <w:gridCol w:w="1134"/>
        <w:gridCol w:w="4109"/>
        <w:gridCol w:w="8081"/>
      </w:tblGrid>
      <w:tr>
        <w:tblPrEx>
          <w:tblCellMar>
            <w:top w:w="0" w:type="dxa"/>
            <w:left w:w="108" w:type="dxa"/>
            <w:bottom w:w="0" w:type="dxa"/>
            <w:right w:w="108" w:type="dxa"/>
          </w:tblCellMar>
        </w:tblPrEx>
        <w:trPr>
          <w:trHeight w:val="450"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序号</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项目</w:t>
            </w:r>
          </w:p>
        </w:tc>
        <w:tc>
          <w:tcPr>
            <w:tcW w:w="410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内容</w:t>
            </w:r>
          </w:p>
        </w:tc>
        <w:tc>
          <w:tcPr>
            <w:tcW w:w="808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依据</w:t>
            </w:r>
          </w:p>
        </w:tc>
      </w:tr>
      <w:tr>
        <w:tblPrEx>
          <w:tblCellMar>
            <w:top w:w="0" w:type="dxa"/>
            <w:left w:w="108" w:type="dxa"/>
            <w:bottom w:w="0" w:type="dxa"/>
            <w:right w:w="108" w:type="dxa"/>
          </w:tblCellMar>
        </w:tblPrEx>
        <w:trPr>
          <w:trHeight w:val="2317" w:hRule="atLeast"/>
        </w:trPr>
        <w:tc>
          <w:tcPr>
            <w:tcW w:w="710" w:type="dxa"/>
            <w:tcBorders>
              <w:top w:val="nil"/>
              <w:left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w:t>
            </w:r>
          </w:p>
          <w:p>
            <w:pPr>
              <w:jc w:val="center"/>
              <w:rPr>
                <w:rFonts w:ascii="楷体_GB2312" w:hAnsi="宋体" w:eastAsia="楷体_GB2312" w:cs="宋体"/>
                <w:color w:val="000000" w:themeColor="text1"/>
                <w:kern w:val="0"/>
                <w:szCs w:val="21"/>
                <w14:textFill>
                  <w14:solidFill>
                    <w14:schemeClr w14:val="tx1"/>
                  </w14:solidFill>
                </w14:textFill>
              </w:rPr>
            </w:pPr>
          </w:p>
        </w:tc>
        <w:tc>
          <w:tcPr>
            <w:tcW w:w="1134"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事后风险评估</w:t>
            </w:r>
          </w:p>
        </w:tc>
        <w:tc>
          <w:tcPr>
            <w:tcW w:w="4109" w:type="dxa"/>
            <w:tcBorders>
              <w:top w:val="nil"/>
              <w:left w:val="nil"/>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1.排查、消除现场事故隐患；</w:t>
            </w:r>
          </w:p>
          <w:p>
            <w:pPr>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2.排查、消除现场次生、衍生事故风险。</w:t>
            </w:r>
          </w:p>
        </w:tc>
        <w:tc>
          <w:tcPr>
            <w:tcW w:w="8081" w:type="dxa"/>
            <w:tcBorders>
              <w:top w:val="nil"/>
              <w:left w:val="nil"/>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1.《中共中央 国务院关于推进安全生产领域改革发展的意见》（二十二）建立隐患治理监督机制。</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2.《国务院安委会关于进一步加强生产安全事故应急处置工作的通知》（安委〔2013〕8号）四、加强事故应急处置相关工作（四）稳妥做好善后处置工作。</w:t>
            </w:r>
          </w:p>
          <w:p>
            <w:pPr>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3.《中华人民共和国突发事件应对法》第五十八条。</w:t>
            </w:r>
          </w:p>
        </w:tc>
      </w:tr>
      <w:tr>
        <w:tblPrEx>
          <w:tblCellMar>
            <w:top w:w="0" w:type="dxa"/>
            <w:left w:w="108" w:type="dxa"/>
            <w:bottom w:w="0" w:type="dxa"/>
            <w:right w:w="108" w:type="dxa"/>
          </w:tblCellMar>
        </w:tblPrEx>
        <w:trPr>
          <w:trHeight w:val="2183"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应急准备恢复</w:t>
            </w:r>
          </w:p>
        </w:tc>
        <w:tc>
          <w:tcPr>
            <w:tcW w:w="410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维护、补充、更新装备、物资，休整队伍，恢复到正常应急准备状态。</w:t>
            </w:r>
          </w:p>
        </w:tc>
        <w:tc>
          <w:tcPr>
            <w:tcW w:w="8081"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1.《国务院安委会关于进一步加强生产安全事故应急处置工作的通知》（安委〔2013〕8号）四、加强事故应急处置相关工作（四）稳妥做好善后处置工作。</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2.《生产安全事故应急条例》第十三条。</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3.《国家安全监管总局关于加强科学施救提高生产安全事故灾难应急救援水平的指导意见》（安监总应急〔2012〕147号）（七）完善安全生产应急救援装备和物资体系。</w:t>
            </w:r>
            <w:r>
              <w:rPr>
                <w:rFonts w:hint="eastAsia" w:ascii="楷体_GB2312" w:hAnsi="宋体" w:eastAsia="楷体_GB2312" w:cs="宋体"/>
                <w:color w:val="000000" w:themeColor="text1"/>
                <w:kern w:val="0"/>
                <w:szCs w:val="21"/>
                <w14:textFill>
                  <w14:solidFill>
                    <w14:schemeClr w14:val="tx1"/>
                  </w14:solidFill>
                </w14:textFill>
              </w:rPr>
              <w:br w:type="textWrapping"/>
            </w:r>
          </w:p>
        </w:tc>
      </w:tr>
      <w:tr>
        <w:tblPrEx>
          <w:tblCellMar>
            <w:top w:w="0" w:type="dxa"/>
            <w:left w:w="108" w:type="dxa"/>
            <w:bottom w:w="0" w:type="dxa"/>
            <w:right w:w="108" w:type="dxa"/>
          </w:tblCellMar>
        </w:tblPrEx>
        <w:trPr>
          <w:trHeight w:val="2145"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应急处置评估</w:t>
            </w:r>
          </w:p>
        </w:tc>
        <w:tc>
          <w:tcPr>
            <w:tcW w:w="410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生产安全事故调查组应当对应急救援工作进行评估，并在事故调查报告中作出评估结论。在事故救援结束后应当开展应急处置工作总结。</w:t>
            </w:r>
          </w:p>
        </w:tc>
        <w:tc>
          <w:tcPr>
            <w:tcW w:w="8081"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1.《生产安全事故应急条例》第二十七条。</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2.《生产安全事故应急处置评估暂行办法》（</w:t>
            </w:r>
            <w:r>
              <w:rPr>
                <w:rFonts w:hint="eastAsia" w:ascii="楷体_GB2312" w:eastAsia="楷体_GB2312"/>
                <w:color w:val="000000" w:themeColor="text1"/>
                <w:sz w:val="22"/>
                <w:shd w:val="clear" w:color="auto" w:fill="FFFFFF"/>
                <w14:textFill>
                  <w14:solidFill>
                    <w14:schemeClr w14:val="tx1"/>
                  </w14:solidFill>
                </w14:textFill>
              </w:rPr>
              <w:t>安监总厅应急〔2014〕95号</w:t>
            </w:r>
            <w:r>
              <w:rPr>
                <w:rFonts w:hint="eastAsia" w:ascii="楷体_GB2312" w:hAnsi="宋体" w:eastAsia="楷体_GB2312" w:cs="宋体"/>
                <w:color w:val="000000" w:themeColor="text1"/>
                <w:kern w:val="0"/>
                <w:szCs w:val="21"/>
                <w14:textFill>
                  <w14:solidFill>
                    <w14:schemeClr w14:val="tx1"/>
                  </w14:solidFill>
                </w14:textFill>
              </w:rPr>
              <w:t>）第七条、第八条、第十二条。</w:t>
            </w:r>
          </w:p>
          <w:p>
            <w:pPr>
              <w:widowControl/>
              <w:jc w:val="left"/>
              <w:rPr>
                <w:rFonts w:ascii="楷体_GB2312" w:hAnsi="宋体" w:eastAsia="楷体_GB2312" w:cs="宋体"/>
                <w:color w:val="000000" w:themeColor="text1"/>
                <w:kern w:val="0"/>
                <w:szCs w:val="21"/>
                <w14:textFill>
                  <w14:solidFill>
                    <w14:schemeClr w14:val="tx1"/>
                  </w14:solidFill>
                </w14:textFill>
              </w:rPr>
            </w:pPr>
          </w:p>
        </w:tc>
      </w:tr>
    </w:tbl>
    <w:p>
      <w:pPr>
        <w:widowControl/>
        <w:jc w:val="left"/>
        <w:rPr>
          <w:rFonts w:ascii="华文中宋" w:hAnsi="华文中宋" w:eastAsia="华文中宋" w:cs="宋体"/>
          <w:color w:val="000000" w:themeColor="text1"/>
          <w:kern w:val="0"/>
          <w:sz w:val="30"/>
          <w:szCs w:val="30"/>
          <w14:textFill>
            <w14:solidFill>
              <w14:schemeClr w14:val="tx1"/>
            </w14:solidFill>
          </w14:textFill>
        </w:rPr>
      </w:pPr>
    </w:p>
    <w:p>
      <w:pPr>
        <w:spacing w:line="560" w:lineRule="exact"/>
        <w:jc w:val="center"/>
        <w:rPr>
          <w:rFonts w:ascii="华文中宋" w:hAnsi="华文中宋" w:eastAsia="华文中宋" w:cs="宋体"/>
          <w:color w:val="000000" w:themeColor="text1"/>
          <w:kern w:val="0"/>
          <w:sz w:val="30"/>
          <w:szCs w:val="30"/>
          <w14:textFill>
            <w14:solidFill>
              <w14:schemeClr w14:val="tx1"/>
            </w14:solidFill>
          </w14:textFill>
        </w:rPr>
      </w:pPr>
      <w:r>
        <w:rPr>
          <w:rFonts w:hint="eastAsia" w:ascii="华文中宋" w:hAnsi="华文中宋" w:eastAsia="华文中宋" w:cs="宋体"/>
          <w:color w:val="000000" w:themeColor="text1"/>
          <w:kern w:val="0"/>
          <w:sz w:val="44"/>
          <w:szCs w:val="44"/>
          <w14:textFill>
            <w14:solidFill>
              <w14:schemeClr w14:val="tx1"/>
            </w14:solidFill>
          </w14:textFill>
        </w:rPr>
        <w:t>危险化学品企业生产安全事故应急准备工作表</w:t>
      </w:r>
    </w:p>
    <w:p>
      <w:pPr>
        <w:spacing w:line="560" w:lineRule="exact"/>
        <w:jc w:val="left"/>
        <w:rPr>
          <w:rFonts w:ascii="仿宋_GB2312" w:hAnsi="宋体" w:eastAsia="仿宋_GB2312"/>
          <w:b/>
          <w:color w:val="000000" w:themeColor="text1"/>
          <w:sz w:val="32"/>
          <w:szCs w:val="32"/>
          <w14:textFill>
            <w14:solidFill>
              <w14:schemeClr w14:val="tx1"/>
            </w14:solidFill>
          </w14:textFill>
        </w:rPr>
      </w:pPr>
      <w:r>
        <w:rPr>
          <w:rFonts w:hint="eastAsia" w:ascii="楷体_GB2312" w:hAnsi="宋体" w:eastAsia="楷体_GB2312" w:cs="宋体"/>
          <w:b/>
          <w:color w:val="000000" w:themeColor="text1"/>
          <w:kern w:val="0"/>
          <w:szCs w:val="21"/>
          <w14:textFill>
            <w14:solidFill>
              <w14:schemeClr w14:val="tx1"/>
            </w14:solidFill>
          </w14:textFill>
        </w:rPr>
        <w:t>要素14：经费保障</w:t>
      </w:r>
    </w:p>
    <w:tbl>
      <w:tblPr>
        <w:tblStyle w:val="11"/>
        <w:tblW w:w="14034" w:type="dxa"/>
        <w:tblInd w:w="-318" w:type="dxa"/>
        <w:tblLayout w:type="fixed"/>
        <w:tblCellMar>
          <w:top w:w="0" w:type="dxa"/>
          <w:left w:w="108" w:type="dxa"/>
          <w:bottom w:w="0" w:type="dxa"/>
          <w:right w:w="108" w:type="dxa"/>
        </w:tblCellMar>
      </w:tblPr>
      <w:tblGrid>
        <w:gridCol w:w="710"/>
        <w:gridCol w:w="1134"/>
        <w:gridCol w:w="4112"/>
        <w:gridCol w:w="8078"/>
      </w:tblGrid>
      <w:tr>
        <w:tblPrEx>
          <w:tblCellMar>
            <w:top w:w="0" w:type="dxa"/>
            <w:left w:w="108" w:type="dxa"/>
            <w:bottom w:w="0" w:type="dxa"/>
            <w:right w:w="108" w:type="dxa"/>
          </w:tblCellMar>
        </w:tblPrEx>
        <w:trPr>
          <w:trHeight w:val="408"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序号</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项目</w:t>
            </w:r>
          </w:p>
        </w:tc>
        <w:tc>
          <w:tcPr>
            <w:tcW w:w="411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内容</w:t>
            </w:r>
          </w:p>
        </w:tc>
        <w:tc>
          <w:tcPr>
            <w:tcW w:w="807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依据</w:t>
            </w:r>
          </w:p>
        </w:tc>
      </w:tr>
      <w:tr>
        <w:tblPrEx>
          <w:tblCellMar>
            <w:top w:w="0" w:type="dxa"/>
            <w:left w:w="108" w:type="dxa"/>
            <w:bottom w:w="0" w:type="dxa"/>
            <w:right w:w="108" w:type="dxa"/>
          </w:tblCellMar>
        </w:tblPrEx>
        <w:trPr>
          <w:trHeight w:val="3202"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应急资金预算</w:t>
            </w:r>
          </w:p>
        </w:tc>
        <w:tc>
          <w:tcPr>
            <w:tcW w:w="41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1.企业年度预算中应包含应急教育、培训、演练，应急装备与设施检测、维护、更新，应急物资、器材采购等有关应急资金预算；</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2.企业应急资金使用计划应包括应急准备项目资金详细计划；</w:t>
            </w:r>
          </w:p>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3.企业应制定应急资金使用的进度安排。</w:t>
            </w:r>
          </w:p>
        </w:tc>
        <w:tc>
          <w:tcPr>
            <w:tcW w:w="8078" w:type="dxa"/>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1.《国务院安委会办公室关于贯彻落实国务院&lt;通知&gt;精神进一步加强安全生产应急救援体系建设的实施意见》（安委办〔2010〕25号）（十七）研究制定并落实安全生产应急工作政策措施。</w:t>
            </w:r>
            <w:r>
              <w:rPr>
                <w:rFonts w:hint="eastAsia" w:ascii="楷体_GB2312" w:hAnsi="宋体" w:eastAsia="楷体_GB2312" w:cs="宋体"/>
                <w:color w:val="000000" w:themeColor="text1"/>
                <w:kern w:val="0"/>
                <w:szCs w:val="21"/>
                <w14:textFill>
                  <w14:solidFill>
                    <w14:schemeClr w14:val="tx1"/>
                  </w14:solidFill>
                </w14:textFill>
              </w:rPr>
              <w:br w:type="textWrapping"/>
            </w:r>
            <w:r>
              <w:rPr>
                <w:rFonts w:hint="eastAsia" w:ascii="楷体_GB2312" w:hAnsi="宋体" w:eastAsia="楷体_GB2312" w:cs="宋体"/>
                <w:color w:val="000000" w:themeColor="text1"/>
                <w:kern w:val="0"/>
                <w:szCs w:val="21"/>
                <w14:textFill>
                  <w14:solidFill>
                    <w14:schemeClr w14:val="tx1"/>
                  </w14:solidFill>
                </w14:textFill>
              </w:rPr>
              <w:t>2.</w:t>
            </w:r>
            <w:r>
              <w:rPr>
                <w:rFonts w:ascii="楷体_GB2312" w:hAnsi="宋体" w:eastAsia="楷体_GB2312" w:cs="宋体"/>
                <w:color w:val="000000" w:themeColor="text1"/>
                <w:kern w:val="0"/>
                <w:szCs w:val="21"/>
                <w14:textFill>
                  <w14:solidFill>
                    <w14:schemeClr w14:val="tx1"/>
                  </w14:solidFill>
                </w14:textFill>
              </w:rPr>
              <w:t>《企业安全生产费用提取和使用管理办法》 （</w:t>
            </w:r>
            <w:r>
              <w:rPr>
                <w:rFonts w:hint="eastAsia" w:ascii="楷体_GB2312" w:hAnsi="宋体" w:eastAsia="楷体_GB2312" w:cs="宋体"/>
                <w:color w:val="000000" w:themeColor="text1"/>
                <w:kern w:val="0"/>
                <w:szCs w:val="21"/>
                <w14:textFill>
                  <w14:solidFill>
                    <w14:schemeClr w14:val="tx1"/>
                  </w14:solidFill>
                </w14:textFill>
              </w:rPr>
              <w:t>财企〔2012〕16号）第二十条、第三十二条。</w:t>
            </w:r>
          </w:p>
        </w:tc>
      </w:tr>
      <w:tr>
        <w:tblPrEx>
          <w:tblCellMar>
            <w:top w:w="0" w:type="dxa"/>
            <w:left w:w="108" w:type="dxa"/>
            <w:bottom w:w="0" w:type="dxa"/>
            <w:right w:w="108" w:type="dxa"/>
          </w:tblCellMar>
        </w:tblPrEx>
        <w:trPr>
          <w:trHeight w:val="2468" w:hRule="atLeast"/>
        </w:trPr>
        <w:tc>
          <w:tcPr>
            <w:tcW w:w="710" w:type="dxa"/>
            <w:tcBorders>
              <w:top w:val="single" w:color="auto" w:sz="4" w:space="0"/>
              <w:left w:val="single" w:color="auto" w:sz="4" w:space="0"/>
              <w:bottom w:val="nil"/>
              <w:right w:val="single" w:color="auto" w:sz="4" w:space="0"/>
            </w:tcBorders>
            <w:shd w:val="clear" w:color="auto" w:fill="auto"/>
            <w:vAlign w:val="center"/>
          </w:tcPr>
          <w:p>
            <w:pPr>
              <w:widowControl/>
              <w:jc w:val="center"/>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2</w:t>
            </w:r>
          </w:p>
        </w:tc>
        <w:tc>
          <w:tcPr>
            <w:tcW w:w="1134" w:type="dxa"/>
            <w:vMerge w:val="restart"/>
            <w:tcBorders>
              <w:top w:val="single" w:color="auto" w:sz="4" w:space="0"/>
              <w:left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救援费用承担</w:t>
            </w:r>
          </w:p>
        </w:tc>
        <w:tc>
          <w:tcPr>
            <w:tcW w:w="4112"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应急救援队伍根据救援命令参加生产安全事故应急救援所耗费用，由事故责任单位承担；事故责任单位无力承担的，由有关人民政府协调解决。</w:t>
            </w:r>
          </w:p>
        </w:tc>
        <w:tc>
          <w:tcPr>
            <w:tcW w:w="8078" w:type="dxa"/>
            <w:vMerge w:val="restart"/>
            <w:tcBorders>
              <w:top w:val="nil"/>
              <w:left w:val="nil"/>
              <w:bottom w:val="nil"/>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r>
              <w:rPr>
                <w:rFonts w:hint="eastAsia" w:ascii="楷体_GB2312" w:hAnsi="宋体" w:eastAsia="楷体_GB2312" w:cs="宋体"/>
                <w:color w:val="000000" w:themeColor="text1"/>
                <w:kern w:val="0"/>
                <w:szCs w:val="21"/>
                <w14:textFill>
                  <w14:solidFill>
                    <w14:schemeClr w14:val="tx1"/>
                  </w14:solidFill>
                </w14:textFill>
              </w:rPr>
              <w:t>《生产安全事故应急条例》第十九条。</w:t>
            </w:r>
          </w:p>
        </w:tc>
      </w:tr>
      <w:tr>
        <w:tblPrEx>
          <w:tblCellMar>
            <w:top w:w="0" w:type="dxa"/>
            <w:left w:w="108" w:type="dxa"/>
            <w:bottom w:w="0" w:type="dxa"/>
            <w:right w:w="108" w:type="dxa"/>
          </w:tblCellMar>
        </w:tblPrEx>
        <w:trPr>
          <w:trHeight w:val="433" w:hRule="atLeast"/>
        </w:trPr>
        <w:tc>
          <w:tcPr>
            <w:tcW w:w="710" w:type="dxa"/>
            <w:tcBorders>
              <w:top w:val="nil"/>
              <w:left w:val="single" w:color="auto" w:sz="4" w:space="0"/>
              <w:bottom w:val="single" w:color="auto" w:sz="4" w:space="0"/>
              <w:right w:val="single" w:color="auto" w:sz="4" w:space="0"/>
            </w:tcBorders>
            <w:shd w:val="clear" w:color="auto" w:fill="auto"/>
            <w:vAlign w:val="center"/>
          </w:tcPr>
          <w:p>
            <w:pPr>
              <w:widowControl/>
              <w:rPr>
                <w:rFonts w:ascii="楷体_GB2312" w:hAnsi="宋体" w:eastAsia="楷体_GB2312" w:cs="宋体"/>
                <w:color w:val="000000" w:themeColor="text1"/>
                <w:kern w:val="0"/>
                <w:szCs w:val="21"/>
                <w14:textFill>
                  <w14:solidFill>
                    <w14:schemeClr w14:val="tx1"/>
                  </w14:solidFill>
                </w14:textFill>
              </w:rPr>
            </w:pPr>
          </w:p>
        </w:tc>
        <w:tc>
          <w:tcPr>
            <w:tcW w:w="1134" w:type="dxa"/>
            <w:vMerge w:val="continue"/>
            <w:tcBorders>
              <w:left w:val="single" w:color="auto" w:sz="4" w:space="0"/>
              <w:bottom w:val="single" w:color="000000"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p>
        </w:tc>
        <w:tc>
          <w:tcPr>
            <w:tcW w:w="4112" w:type="dxa"/>
            <w:vMerge w:val="continue"/>
            <w:tcBorders>
              <w:left w:val="single" w:color="auto" w:sz="4" w:space="0"/>
              <w:bottom w:val="single" w:color="000000"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p>
        </w:tc>
        <w:tc>
          <w:tcPr>
            <w:tcW w:w="8078" w:type="dxa"/>
            <w:vMerge w:val="continue"/>
            <w:tcBorders>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color w:val="000000" w:themeColor="text1"/>
                <w:kern w:val="0"/>
                <w:szCs w:val="21"/>
                <w14:textFill>
                  <w14:solidFill>
                    <w14:schemeClr w14:val="tx1"/>
                  </w14:solidFill>
                </w14:textFill>
              </w:rPr>
            </w:pPr>
          </w:p>
        </w:tc>
      </w:tr>
    </w:tbl>
    <w:p>
      <w:pPr>
        <w:widowControl/>
        <w:ind w:firstLine="300" w:firstLineChars="200"/>
        <w:jc w:val="left"/>
        <w:rPr>
          <w:rFonts w:ascii="仿宋_GB2312" w:eastAsia="仿宋_GB2312"/>
          <w:color w:val="000000" w:themeColor="text1"/>
          <w:sz w:val="15"/>
          <w:szCs w:val="15"/>
          <w14:textFill>
            <w14:solidFill>
              <w14:schemeClr w14:val="tx1"/>
            </w14:solidFill>
          </w14:textFill>
        </w:rPr>
      </w:pPr>
    </w:p>
    <w:sectPr>
      <w:pgSz w:w="16838" w:h="11906" w:orient="landscape"/>
      <w:pgMar w:top="1588" w:right="1474" w:bottom="1588" w:left="1701" w:header="0" w:footer="907" w:gutter="0"/>
      <w:pgNumType w:start="8"/>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等线">
    <w:altName w:val="宋体"/>
    <w:panose1 w:val="00000000000000000000"/>
    <w:charset w:val="86"/>
    <w:family w:val="auto"/>
    <w:pitch w:val="default"/>
    <w:sig w:usb0="00000000" w:usb1="00000000" w:usb2="00000016" w:usb3="00000000" w:csb0="0004000F" w:csb1="00000000"/>
  </w:font>
  <w:font w:name="等线 Light">
    <w:altName w:val="宋体"/>
    <w:panose1 w:val="00000000000000000000"/>
    <w:charset w:val="86"/>
    <w:family w:val="auto"/>
    <w:pitch w:val="default"/>
    <w:sig w:usb0="00000000" w:usb1="00000000" w:usb2="00000016" w:usb3="00000000" w:csb0="0004000F" w:csb1="00000000"/>
  </w:font>
  <w:font w:name="Courier New">
    <w:panose1 w:val="02070309020205020404"/>
    <w:charset w:val="00"/>
    <w:family w:val="modern"/>
    <w:pitch w:val="default"/>
    <w:sig w:usb0="00007A87" w:usb1="80000000" w:usb2="00000008" w:usb3="00000000" w:csb0="400001FF" w:csb1="FFFF0000"/>
  </w:font>
  <w:font w:name="Microsoft Yahei">
    <w:altName w:val="Times New Roman"/>
    <w:panose1 w:val="00000000000000000000"/>
    <w:charset w:val="00"/>
    <w:family w:val="roman"/>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等线">
    <w:altName w:val="Courier New"/>
    <w:panose1 w:val="00000000000000000000"/>
    <w:charset w:val="00"/>
    <w:family w:val="auto"/>
    <w:pitch w:val="default"/>
    <w:sig w:usb0="00000000" w:usb1="00000000" w:usb2="00000000" w:usb3="00000000" w:csb0="00000000" w:csb1="00000000"/>
  </w:font>
  <w:font w:name="等线 Light">
    <w:altName w:val="Courier New"/>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7635" cy="199390"/>
              <wp:effectExtent l="0" t="0" r="0" b="0"/>
              <wp:wrapNone/>
              <wp:docPr id="2" name="Text Box 1025"/>
              <wp:cNvGraphicFramePr/>
              <a:graphic xmlns:a="http://schemas.openxmlformats.org/drawingml/2006/main">
                <a:graphicData uri="http://schemas.microsoft.com/office/word/2010/wordprocessingShape">
                  <wps:wsp>
                    <wps:cNvSpPr txBox="1">
                      <a:spLocks noChangeArrowheads="1"/>
                    </wps:cNvSpPr>
                    <wps:spPr bwMode="auto">
                      <a:xfrm>
                        <a:off x="0" y="0"/>
                        <a:ext cx="127635" cy="199390"/>
                      </a:xfrm>
                      <a:prstGeom prst="rect">
                        <a:avLst/>
                      </a:prstGeom>
                      <a:noFill/>
                      <a:ln>
                        <a:noFill/>
                      </a:ln>
                      <a:effectLst/>
                    </wps:spPr>
                    <wps:txbx>
                      <w:txbxContent>
                        <w:p>
                          <w:pPr>
                            <w:pStyle w:val="7"/>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  \* MERGEFORMAT </w:instrText>
                          </w:r>
                          <w:r>
                            <w:rPr>
                              <w:rFonts w:hint="eastAsia" w:ascii="仿宋_GB2312" w:hAnsi="仿宋_GB2312" w:eastAsia="仿宋_GB2312" w:cs="仿宋_GB2312"/>
                            </w:rPr>
                            <w:fldChar w:fldCharType="separate"/>
                          </w:r>
                          <w:r>
                            <w:rPr>
                              <w:rFonts w:ascii="仿宋_GB2312" w:hAnsi="仿宋_GB2312" w:eastAsia="仿宋_GB2312" w:cs="仿宋_GB2312"/>
                            </w:rPr>
                            <w:t>29</w:t>
                          </w:r>
                          <w:r>
                            <w:rPr>
                              <w:rFonts w:hint="eastAsia" w:ascii="仿宋_GB2312" w:hAnsi="仿宋_GB2312" w:eastAsia="仿宋_GB2312" w:cs="仿宋_GB2312"/>
                            </w:rPr>
                            <w:fldChar w:fldCharType="end"/>
                          </w:r>
                        </w:p>
                      </w:txbxContent>
                    </wps:txbx>
                    <wps:bodyPr rot="0" vert="horz" wrap="none" lIns="0" tIns="0" rIns="0" bIns="0" anchor="t" anchorCtr="0" upright="1">
                      <a:spAutoFit/>
                    </wps:bodyPr>
                  </wps:wsp>
                </a:graphicData>
              </a:graphic>
            </wp:anchor>
          </w:drawing>
        </mc:Choice>
        <mc:Fallback>
          <w:pict>
            <v:shape id="Text Box 1025" o:spid="_x0000_s1026" o:spt="202" type="#_x0000_t202" style="position:absolute;left:0pt;margin-top:0pt;height:15.7pt;width:10.05pt;mso-position-horizontal:center;mso-position-horizontal-relative:margin;mso-wrap-style:none;z-index:251659264;mso-width-relative:page;mso-height-relative:page;" filled="f" stroked="f" coordsize="21600,21600" o:gfxdata="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tlgyuNEAAAADAQAA&#10;DwAAAAAAAAABACAAAAAiAAAAZHJzL2Rvd25yZXYueG1sUEsBAhQAFAAAAAgAh07iQB+UpQvnAQAA&#10;xAMAAA4AAAAAAAAAAQAgAAAAIAEAAGRycy9lMm9Eb2MueG1sUEsFBgAAAAAGAAYAWQEAAHkFAAAA&#10;AA==&#10;">
              <v:fill on="f" focussize="0,0"/>
              <v:stroke on="f"/>
              <v:imagedata o:title=""/>
              <o:lock v:ext="edit" aspectratio="f"/>
              <v:textbox inset="0mm,0mm,0mm,0mm" style="mso-fit-shape-to-text:t;">
                <w:txbxContent>
                  <w:p>
                    <w:pPr>
                      <w:pStyle w:val="7"/>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  \* MERGEFORMAT </w:instrText>
                    </w:r>
                    <w:r>
                      <w:rPr>
                        <w:rFonts w:hint="eastAsia" w:ascii="仿宋_GB2312" w:hAnsi="仿宋_GB2312" w:eastAsia="仿宋_GB2312" w:cs="仿宋_GB2312"/>
                      </w:rPr>
                      <w:fldChar w:fldCharType="separate"/>
                    </w:r>
                    <w:r>
                      <w:rPr>
                        <w:rFonts w:ascii="仿宋_GB2312" w:hAnsi="仿宋_GB2312" w:eastAsia="仿宋_GB2312" w:cs="仿宋_GB2312"/>
                      </w:rPr>
                      <w:t>29</w:t>
                    </w:r>
                    <w:r>
                      <w:rPr>
                        <w:rFonts w:hint="eastAsia" w:ascii="仿宋_GB2312" w:hAnsi="仿宋_GB2312" w:eastAsia="仿宋_GB2312" w:cs="仿宋_GB2312"/>
                      </w:rPr>
                      <w:fldChar w:fldCharType="end"/>
                    </w:r>
                  </w:p>
                </w:txbxContent>
              </v:textbox>
            </v:shape>
          </w:pict>
        </mc:Fallback>
      </mc:AlternateContent>
    </w:r>
    <w:sdt>
      <w:sdtPr>
        <w:id w:val="30217226"/>
      </w:sdtPr>
      <w:sdtContent/>
    </w:sdt>
  </w:p>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D27D5B0"/>
    <w:multiLevelType w:val="singleLevel"/>
    <w:tmpl w:val="DD27D5B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741C"/>
    <w:rsid w:val="000024BE"/>
    <w:rsid w:val="00003565"/>
    <w:rsid w:val="00004570"/>
    <w:rsid w:val="00004666"/>
    <w:rsid w:val="0000696C"/>
    <w:rsid w:val="00006BD8"/>
    <w:rsid w:val="00010064"/>
    <w:rsid w:val="000109A2"/>
    <w:rsid w:val="00011120"/>
    <w:rsid w:val="0001196B"/>
    <w:rsid w:val="000125C7"/>
    <w:rsid w:val="00013E9F"/>
    <w:rsid w:val="00013F5F"/>
    <w:rsid w:val="0001489E"/>
    <w:rsid w:val="000157D8"/>
    <w:rsid w:val="00016C71"/>
    <w:rsid w:val="00020D8F"/>
    <w:rsid w:val="00021DE9"/>
    <w:rsid w:val="000227F9"/>
    <w:rsid w:val="000230F2"/>
    <w:rsid w:val="000243FD"/>
    <w:rsid w:val="0002441A"/>
    <w:rsid w:val="00024432"/>
    <w:rsid w:val="0002627D"/>
    <w:rsid w:val="000277C5"/>
    <w:rsid w:val="00030255"/>
    <w:rsid w:val="00030E09"/>
    <w:rsid w:val="00031327"/>
    <w:rsid w:val="0003193E"/>
    <w:rsid w:val="000330DF"/>
    <w:rsid w:val="00033C82"/>
    <w:rsid w:val="0003484D"/>
    <w:rsid w:val="000352F9"/>
    <w:rsid w:val="00035DAC"/>
    <w:rsid w:val="00035DDE"/>
    <w:rsid w:val="000361F2"/>
    <w:rsid w:val="00036273"/>
    <w:rsid w:val="00036788"/>
    <w:rsid w:val="000405E2"/>
    <w:rsid w:val="00040A6D"/>
    <w:rsid w:val="0004118D"/>
    <w:rsid w:val="00044DC8"/>
    <w:rsid w:val="00053E80"/>
    <w:rsid w:val="00054DDA"/>
    <w:rsid w:val="00056260"/>
    <w:rsid w:val="00056510"/>
    <w:rsid w:val="00056C06"/>
    <w:rsid w:val="00057218"/>
    <w:rsid w:val="000704E4"/>
    <w:rsid w:val="00072AA9"/>
    <w:rsid w:val="00075273"/>
    <w:rsid w:val="000764BD"/>
    <w:rsid w:val="000775FB"/>
    <w:rsid w:val="00080165"/>
    <w:rsid w:val="00082D89"/>
    <w:rsid w:val="00083BD6"/>
    <w:rsid w:val="00083FC3"/>
    <w:rsid w:val="00086969"/>
    <w:rsid w:val="00087522"/>
    <w:rsid w:val="000912B9"/>
    <w:rsid w:val="00092FF2"/>
    <w:rsid w:val="00093150"/>
    <w:rsid w:val="00095C9D"/>
    <w:rsid w:val="000961F8"/>
    <w:rsid w:val="000A1741"/>
    <w:rsid w:val="000A1CC2"/>
    <w:rsid w:val="000A2992"/>
    <w:rsid w:val="000A4AE7"/>
    <w:rsid w:val="000B09A8"/>
    <w:rsid w:val="000B1489"/>
    <w:rsid w:val="000B1763"/>
    <w:rsid w:val="000B2552"/>
    <w:rsid w:val="000B7819"/>
    <w:rsid w:val="000C4F73"/>
    <w:rsid w:val="000C5A76"/>
    <w:rsid w:val="000C6558"/>
    <w:rsid w:val="000D3A16"/>
    <w:rsid w:val="000D772B"/>
    <w:rsid w:val="000E0875"/>
    <w:rsid w:val="000E285E"/>
    <w:rsid w:val="000E28E9"/>
    <w:rsid w:val="000E34E3"/>
    <w:rsid w:val="000E6629"/>
    <w:rsid w:val="000F4B04"/>
    <w:rsid w:val="00101EA3"/>
    <w:rsid w:val="00102CAB"/>
    <w:rsid w:val="00103F5B"/>
    <w:rsid w:val="0010460B"/>
    <w:rsid w:val="00105AE1"/>
    <w:rsid w:val="00105C90"/>
    <w:rsid w:val="00106312"/>
    <w:rsid w:val="00107B09"/>
    <w:rsid w:val="00110147"/>
    <w:rsid w:val="0011041D"/>
    <w:rsid w:val="00110D05"/>
    <w:rsid w:val="00112D07"/>
    <w:rsid w:val="00114987"/>
    <w:rsid w:val="00115694"/>
    <w:rsid w:val="00115E42"/>
    <w:rsid w:val="0012264E"/>
    <w:rsid w:val="00122CFF"/>
    <w:rsid w:val="00123326"/>
    <w:rsid w:val="0012416E"/>
    <w:rsid w:val="00125399"/>
    <w:rsid w:val="00125F06"/>
    <w:rsid w:val="001333AF"/>
    <w:rsid w:val="0013352A"/>
    <w:rsid w:val="00133591"/>
    <w:rsid w:val="00133A41"/>
    <w:rsid w:val="0013735B"/>
    <w:rsid w:val="0014016C"/>
    <w:rsid w:val="001431BA"/>
    <w:rsid w:val="00144374"/>
    <w:rsid w:val="001449EA"/>
    <w:rsid w:val="00147206"/>
    <w:rsid w:val="0015045A"/>
    <w:rsid w:val="00153337"/>
    <w:rsid w:val="001533B9"/>
    <w:rsid w:val="001552FF"/>
    <w:rsid w:val="00155406"/>
    <w:rsid w:val="00155B9D"/>
    <w:rsid w:val="00155C00"/>
    <w:rsid w:val="00156079"/>
    <w:rsid w:val="00157B95"/>
    <w:rsid w:val="00160709"/>
    <w:rsid w:val="0016381A"/>
    <w:rsid w:val="00163F37"/>
    <w:rsid w:val="00164473"/>
    <w:rsid w:val="0016533C"/>
    <w:rsid w:val="00165EE3"/>
    <w:rsid w:val="001671D6"/>
    <w:rsid w:val="001676B6"/>
    <w:rsid w:val="00170747"/>
    <w:rsid w:val="00171674"/>
    <w:rsid w:val="00175AF5"/>
    <w:rsid w:val="001777BC"/>
    <w:rsid w:val="001826BE"/>
    <w:rsid w:val="0018359A"/>
    <w:rsid w:val="00185719"/>
    <w:rsid w:val="001869EB"/>
    <w:rsid w:val="0018744A"/>
    <w:rsid w:val="0018759F"/>
    <w:rsid w:val="00190466"/>
    <w:rsid w:val="00191FB7"/>
    <w:rsid w:val="00194236"/>
    <w:rsid w:val="00196C27"/>
    <w:rsid w:val="001A5E49"/>
    <w:rsid w:val="001A6567"/>
    <w:rsid w:val="001A7706"/>
    <w:rsid w:val="001A7893"/>
    <w:rsid w:val="001B25D2"/>
    <w:rsid w:val="001B4D82"/>
    <w:rsid w:val="001C0102"/>
    <w:rsid w:val="001C0C2E"/>
    <w:rsid w:val="001C364B"/>
    <w:rsid w:val="001C416B"/>
    <w:rsid w:val="001C7E5D"/>
    <w:rsid w:val="001D03A1"/>
    <w:rsid w:val="001D26A4"/>
    <w:rsid w:val="001D3B98"/>
    <w:rsid w:val="001D4489"/>
    <w:rsid w:val="001D5892"/>
    <w:rsid w:val="001D5AD0"/>
    <w:rsid w:val="001E1C8F"/>
    <w:rsid w:val="001E1E0B"/>
    <w:rsid w:val="001E2A32"/>
    <w:rsid w:val="001E56F4"/>
    <w:rsid w:val="001E5855"/>
    <w:rsid w:val="001E7C5E"/>
    <w:rsid w:val="001F2C61"/>
    <w:rsid w:val="001F7CFC"/>
    <w:rsid w:val="00200D1B"/>
    <w:rsid w:val="0020330A"/>
    <w:rsid w:val="0020479B"/>
    <w:rsid w:val="002055F4"/>
    <w:rsid w:val="002069B6"/>
    <w:rsid w:val="002076FD"/>
    <w:rsid w:val="00213CE7"/>
    <w:rsid w:val="00215426"/>
    <w:rsid w:val="002175DC"/>
    <w:rsid w:val="0021783E"/>
    <w:rsid w:val="00220597"/>
    <w:rsid w:val="00220AC8"/>
    <w:rsid w:val="002246CC"/>
    <w:rsid w:val="002270F7"/>
    <w:rsid w:val="00227CEA"/>
    <w:rsid w:val="00231CFA"/>
    <w:rsid w:val="00233858"/>
    <w:rsid w:val="00233A0A"/>
    <w:rsid w:val="00233ACF"/>
    <w:rsid w:val="00233CDC"/>
    <w:rsid w:val="00234100"/>
    <w:rsid w:val="00235186"/>
    <w:rsid w:val="00236040"/>
    <w:rsid w:val="002365D7"/>
    <w:rsid w:val="0024026D"/>
    <w:rsid w:val="00240DFD"/>
    <w:rsid w:val="0024400D"/>
    <w:rsid w:val="002445B2"/>
    <w:rsid w:val="002467E9"/>
    <w:rsid w:val="00247402"/>
    <w:rsid w:val="0025119C"/>
    <w:rsid w:val="002517E3"/>
    <w:rsid w:val="00255ED0"/>
    <w:rsid w:val="00257470"/>
    <w:rsid w:val="00261948"/>
    <w:rsid w:val="00261ED4"/>
    <w:rsid w:val="00263967"/>
    <w:rsid w:val="0026418B"/>
    <w:rsid w:val="00264908"/>
    <w:rsid w:val="00264F84"/>
    <w:rsid w:val="0026669A"/>
    <w:rsid w:val="00267384"/>
    <w:rsid w:val="00272E61"/>
    <w:rsid w:val="002749A2"/>
    <w:rsid w:val="00274BA3"/>
    <w:rsid w:val="0028086D"/>
    <w:rsid w:val="00280DEE"/>
    <w:rsid w:val="00283BC3"/>
    <w:rsid w:val="00285233"/>
    <w:rsid w:val="00287014"/>
    <w:rsid w:val="00292609"/>
    <w:rsid w:val="00292673"/>
    <w:rsid w:val="0029379F"/>
    <w:rsid w:val="00294514"/>
    <w:rsid w:val="00294B47"/>
    <w:rsid w:val="002A192B"/>
    <w:rsid w:val="002A3313"/>
    <w:rsid w:val="002A69AF"/>
    <w:rsid w:val="002A6EAA"/>
    <w:rsid w:val="002A6FDE"/>
    <w:rsid w:val="002A708B"/>
    <w:rsid w:val="002B10FB"/>
    <w:rsid w:val="002B2515"/>
    <w:rsid w:val="002B28F7"/>
    <w:rsid w:val="002B3992"/>
    <w:rsid w:val="002B4055"/>
    <w:rsid w:val="002B5C7E"/>
    <w:rsid w:val="002C2564"/>
    <w:rsid w:val="002C5CCC"/>
    <w:rsid w:val="002C69DA"/>
    <w:rsid w:val="002C7257"/>
    <w:rsid w:val="002C76DA"/>
    <w:rsid w:val="002D0303"/>
    <w:rsid w:val="002D44B1"/>
    <w:rsid w:val="002E1C4B"/>
    <w:rsid w:val="002E21A2"/>
    <w:rsid w:val="002E2B89"/>
    <w:rsid w:val="002E3BC7"/>
    <w:rsid w:val="002E5E19"/>
    <w:rsid w:val="002E61F1"/>
    <w:rsid w:val="002F0140"/>
    <w:rsid w:val="002F047E"/>
    <w:rsid w:val="002F592D"/>
    <w:rsid w:val="00300B7F"/>
    <w:rsid w:val="003042D6"/>
    <w:rsid w:val="003062B8"/>
    <w:rsid w:val="00306383"/>
    <w:rsid w:val="00306C01"/>
    <w:rsid w:val="003119AF"/>
    <w:rsid w:val="00311BB7"/>
    <w:rsid w:val="00313220"/>
    <w:rsid w:val="003138CB"/>
    <w:rsid w:val="00315499"/>
    <w:rsid w:val="0031652E"/>
    <w:rsid w:val="003207A5"/>
    <w:rsid w:val="00320F52"/>
    <w:rsid w:val="003222BB"/>
    <w:rsid w:val="0032418E"/>
    <w:rsid w:val="003246F3"/>
    <w:rsid w:val="003308C1"/>
    <w:rsid w:val="00331747"/>
    <w:rsid w:val="00332ABE"/>
    <w:rsid w:val="00333F86"/>
    <w:rsid w:val="003349C6"/>
    <w:rsid w:val="00334D00"/>
    <w:rsid w:val="00334F17"/>
    <w:rsid w:val="00335888"/>
    <w:rsid w:val="00336F8E"/>
    <w:rsid w:val="00340E40"/>
    <w:rsid w:val="00341587"/>
    <w:rsid w:val="00344D25"/>
    <w:rsid w:val="00345B1C"/>
    <w:rsid w:val="00345FA3"/>
    <w:rsid w:val="00345FB9"/>
    <w:rsid w:val="00347223"/>
    <w:rsid w:val="00350A3D"/>
    <w:rsid w:val="00351DF3"/>
    <w:rsid w:val="00352AFB"/>
    <w:rsid w:val="0035479F"/>
    <w:rsid w:val="00355C21"/>
    <w:rsid w:val="0035649E"/>
    <w:rsid w:val="003575CF"/>
    <w:rsid w:val="00357892"/>
    <w:rsid w:val="00357A27"/>
    <w:rsid w:val="00361115"/>
    <w:rsid w:val="00362621"/>
    <w:rsid w:val="003708E8"/>
    <w:rsid w:val="00371993"/>
    <w:rsid w:val="003724B9"/>
    <w:rsid w:val="00375713"/>
    <w:rsid w:val="00375FA0"/>
    <w:rsid w:val="00377364"/>
    <w:rsid w:val="00377A6C"/>
    <w:rsid w:val="003819CA"/>
    <w:rsid w:val="0038220F"/>
    <w:rsid w:val="003824FF"/>
    <w:rsid w:val="003834F3"/>
    <w:rsid w:val="00386323"/>
    <w:rsid w:val="00386631"/>
    <w:rsid w:val="00386CE1"/>
    <w:rsid w:val="003875AB"/>
    <w:rsid w:val="003900F7"/>
    <w:rsid w:val="003925D7"/>
    <w:rsid w:val="00392ADB"/>
    <w:rsid w:val="0039357D"/>
    <w:rsid w:val="003937E7"/>
    <w:rsid w:val="00395077"/>
    <w:rsid w:val="00396DF1"/>
    <w:rsid w:val="003A050C"/>
    <w:rsid w:val="003A07DB"/>
    <w:rsid w:val="003A12F7"/>
    <w:rsid w:val="003A2860"/>
    <w:rsid w:val="003A6A97"/>
    <w:rsid w:val="003B5185"/>
    <w:rsid w:val="003B5F84"/>
    <w:rsid w:val="003B7115"/>
    <w:rsid w:val="003C01FB"/>
    <w:rsid w:val="003C089F"/>
    <w:rsid w:val="003C20A3"/>
    <w:rsid w:val="003C3129"/>
    <w:rsid w:val="003C3974"/>
    <w:rsid w:val="003C61EA"/>
    <w:rsid w:val="003D4EBC"/>
    <w:rsid w:val="003D709B"/>
    <w:rsid w:val="003D7815"/>
    <w:rsid w:val="003E10E4"/>
    <w:rsid w:val="003E148E"/>
    <w:rsid w:val="003E1F8D"/>
    <w:rsid w:val="003E238E"/>
    <w:rsid w:val="003E29EB"/>
    <w:rsid w:val="003E314F"/>
    <w:rsid w:val="003E320B"/>
    <w:rsid w:val="003E4473"/>
    <w:rsid w:val="003E7473"/>
    <w:rsid w:val="003F03FC"/>
    <w:rsid w:val="003F15EC"/>
    <w:rsid w:val="003F18BD"/>
    <w:rsid w:val="003F4512"/>
    <w:rsid w:val="003F51FA"/>
    <w:rsid w:val="00405EA6"/>
    <w:rsid w:val="0040779E"/>
    <w:rsid w:val="00411158"/>
    <w:rsid w:val="00411E73"/>
    <w:rsid w:val="004120E2"/>
    <w:rsid w:val="00412B2A"/>
    <w:rsid w:val="00412E32"/>
    <w:rsid w:val="00414062"/>
    <w:rsid w:val="004146C2"/>
    <w:rsid w:val="00414890"/>
    <w:rsid w:val="004166DD"/>
    <w:rsid w:val="00416850"/>
    <w:rsid w:val="00420516"/>
    <w:rsid w:val="004229F2"/>
    <w:rsid w:val="00422C25"/>
    <w:rsid w:val="00426B80"/>
    <w:rsid w:val="00426C45"/>
    <w:rsid w:val="00430A6E"/>
    <w:rsid w:val="004313B8"/>
    <w:rsid w:val="004335A0"/>
    <w:rsid w:val="00433CAF"/>
    <w:rsid w:val="00434735"/>
    <w:rsid w:val="004372E2"/>
    <w:rsid w:val="00437524"/>
    <w:rsid w:val="0044328C"/>
    <w:rsid w:val="00445CA1"/>
    <w:rsid w:val="00445ED5"/>
    <w:rsid w:val="00452FA8"/>
    <w:rsid w:val="004562BE"/>
    <w:rsid w:val="0045637D"/>
    <w:rsid w:val="004563F1"/>
    <w:rsid w:val="00456FA4"/>
    <w:rsid w:val="00462A06"/>
    <w:rsid w:val="00470369"/>
    <w:rsid w:val="00477679"/>
    <w:rsid w:val="004809FE"/>
    <w:rsid w:val="00481E60"/>
    <w:rsid w:val="00482A47"/>
    <w:rsid w:val="004910F9"/>
    <w:rsid w:val="00491C66"/>
    <w:rsid w:val="0049385A"/>
    <w:rsid w:val="00494893"/>
    <w:rsid w:val="00494F00"/>
    <w:rsid w:val="00495522"/>
    <w:rsid w:val="004972FA"/>
    <w:rsid w:val="0049764D"/>
    <w:rsid w:val="00497803"/>
    <w:rsid w:val="00497FEF"/>
    <w:rsid w:val="004A5213"/>
    <w:rsid w:val="004A7590"/>
    <w:rsid w:val="004A79DB"/>
    <w:rsid w:val="004B1C9C"/>
    <w:rsid w:val="004B4A54"/>
    <w:rsid w:val="004B588D"/>
    <w:rsid w:val="004B6524"/>
    <w:rsid w:val="004B66E7"/>
    <w:rsid w:val="004B6F75"/>
    <w:rsid w:val="004B7CE7"/>
    <w:rsid w:val="004C106F"/>
    <w:rsid w:val="004C1FB3"/>
    <w:rsid w:val="004C77B0"/>
    <w:rsid w:val="004D1427"/>
    <w:rsid w:val="004D694A"/>
    <w:rsid w:val="004E3E76"/>
    <w:rsid w:val="004E4A86"/>
    <w:rsid w:val="004E6B7D"/>
    <w:rsid w:val="004E72B7"/>
    <w:rsid w:val="004E7C3E"/>
    <w:rsid w:val="004F1BF4"/>
    <w:rsid w:val="004F3088"/>
    <w:rsid w:val="004F3459"/>
    <w:rsid w:val="004F3791"/>
    <w:rsid w:val="004F49E3"/>
    <w:rsid w:val="004F5E3B"/>
    <w:rsid w:val="004F6A24"/>
    <w:rsid w:val="0050498C"/>
    <w:rsid w:val="00511709"/>
    <w:rsid w:val="00511D0E"/>
    <w:rsid w:val="0052041C"/>
    <w:rsid w:val="005207E3"/>
    <w:rsid w:val="00521029"/>
    <w:rsid w:val="005215B8"/>
    <w:rsid w:val="00523AA1"/>
    <w:rsid w:val="005250F5"/>
    <w:rsid w:val="005260EE"/>
    <w:rsid w:val="005262E8"/>
    <w:rsid w:val="005265AA"/>
    <w:rsid w:val="0052737E"/>
    <w:rsid w:val="00531159"/>
    <w:rsid w:val="005327AA"/>
    <w:rsid w:val="005327CF"/>
    <w:rsid w:val="00533705"/>
    <w:rsid w:val="0053767F"/>
    <w:rsid w:val="0054124B"/>
    <w:rsid w:val="00542A83"/>
    <w:rsid w:val="005466C8"/>
    <w:rsid w:val="005501C0"/>
    <w:rsid w:val="00550553"/>
    <w:rsid w:val="00550F4D"/>
    <w:rsid w:val="005513E1"/>
    <w:rsid w:val="00554A47"/>
    <w:rsid w:val="00555536"/>
    <w:rsid w:val="00560878"/>
    <w:rsid w:val="00560B3C"/>
    <w:rsid w:val="00562E5D"/>
    <w:rsid w:val="00564194"/>
    <w:rsid w:val="00564E44"/>
    <w:rsid w:val="00565005"/>
    <w:rsid w:val="00566B9B"/>
    <w:rsid w:val="00566E99"/>
    <w:rsid w:val="005676E1"/>
    <w:rsid w:val="005703E4"/>
    <w:rsid w:val="005713AF"/>
    <w:rsid w:val="00571F06"/>
    <w:rsid w:val="00573DDA"/>
    <w:rsid w:val="00575002"/>
    <w:rsid w:val="00580E23"/>
    <w:rsid w:val="00580E89"/>
    <w:rsid w:val="005815FF"/>
    <w:rsid w:val="00582D4A"/>
    <w:rsid w:val="00584911"/>
    <w:rsid w:val="00585C88"/>
    <w:rsid w:val="00586A08"/>
    <w:rsid w:val="00586A96"/>
    <w:rsid w:val="00586B78"/>
    <w:rsid w:val="0058762D"/>
    <w:rsid w:val="00592095"/>
    <w:rsid w:val="00596682"/>
    <w:rsid w:val="00597839"/>
    <w:rsid w:val="005A0049"/>
    <w:rsid w:val="005A15EC"/>
    <w:rsid w:val="005A31C2"/>
    <w:rsid w:val="005A54A6"/>
    <w:rsid w:val="005A650E"/>
    <w:rsid w:val="005A77B7"/>
    <w:rsid w:val="005B0870"/>
    <w:rsid w:val="005B0FB3"/>
    <w:rsid w:val="005B1B0C"/>
    <w:rsid w:val="005B2F9A"/>
    <w:rsid w:val="005B3600"/>
    <w:rsid w:val="005B57C0"/>
    <w:rsid w:val="005B5EE2"/>
    <w:rsid w:val="005B5F27"/>
    <w:rsid w:val="005C0817"/>
    <w:rsid w:val="005C179F"/>
    <w:rsid w:val="005C23BE"/>
    <w:rsid w:val="005C4744"/>
    <w:rsid w:val="005C4823"/>
    <w:rsid w:val="005C5D62"/>
    <w:rsid w:val="005C6DC0"/>
    <w:rsid w:val="005C77CD"/>
    <w:rsid w:val="005D1183"/>
    <w:rsid w:val="005D1EE4"/>
    <w:rsid w:val="005D1FC4"/>
    <w:rsid w:val="005D558D"/>
    <w:rsid w:val="005E221D"/>
    <w:rsid w:val="005E2AB3"/>
    <w:rsid w:val="005E32FB"/>
    <w:rsid w:val="005E5E2C"/>
    <w:rsid w:val="005E7545"/>
    <w:rsid w:val="005F11AB"/>
    <w:rsid w:val="005F296B"/>
    <w:rsid w:val="005F3112"/>
    <w:rsid w:val="005F3623"/>
    <w:rsid w:val="005F63F4"/>
    <w:rsid w:val="005F7F27"/>
    <w:rsid w:val="00602BCC"/>
    <w:rsid w:val="00605C10"/>
    <w:rsid w:val="0060766F"/>
    <w:rsid w:val="0061076A"/>
    <w:rsid w:val="00610987"/>
    <w:rsid w:val="00610D23"/>
    <w:rsid w:val="00611C7D"/>
    <w:rsid w:val="00614695"/>
    <w:rsid w:val="00615890"/>
    <w:rsid w:val="00615BC1"/>
    <w:rsid w:val="00615E36"/>
    <w:rsid w:val="00617CD3"/>
    <w:rsid w:val="00621C9C"/>
    <w:rsid w:val="00626668"/>
    <w:rsid w:val="0063107B"/>
    <w:rsid w:val="006318D5"/>
    <w:rsid w:val="006348F8"/>
    <w:rsid w:val="00636EA2"/>
    <w:rsid w:val="0063769E"/>
    <w:rsid w:val="006409F3"/>
    <w:rsid w:val="00641318"/>
    <w:rsid w:val="006413AB"/>
    <w:rsid w:val="00643402"/>
    <w:rsid w:val="00644ACE"/>
    <w:rsid w:val="00645693"/>
    <w:rsid w:val="00646E1F"/>
    <w:rsid w:val="0065267B"/>
    <w:rsid w:val="00653F96"/>
    <w:rsid w:val="00655191"/>
    <w:rsid w:val="006569E0"/>
    <w:rsid w:val="006571AF"/>
    <w:rsid w:val="0065722C"/>
    <w:rsid w:val="006577A7"/>
    <w:rsid w:val="00657B81"/>
    <w:rsid w:val="00657C99"/>
    <w:rsid w:val="00657DC6"/>
    <w:rsid w:val="00660F95"/>
    <w:rsid w:val="006622FA"/>
    <w:rsid w:val="00663ED5"/>
    <w:rsid w:val="00663F35"/>
    <w:rsid w:val="006649D6"/>
    <w:rsid w:val="0066751A"/>
    <w:rsid w:val="0067007F"/>
    <w:rsid w:val="00671033"/>
    <w:rsid w:val="00673AB8"/>
    <w:rsid w:val="00675655"/>
    <w:rsid w:val="006763CD"/>
    <w:rsid w:val="006779B2"/>
    <w:rsid w:val="00677BC5"/>
    <w:rsid w:val="0068131D"/>
    <w:rsid w:val="00682C64"/>
    <w:rsid w:val="0068586B"/>
    <w:rsid w:val="00690252"/>
    <w:rsid w:val="00692E14"/>
    <w:rsid w:val="00697657"/>
    <w:rsid w:val="006A0386"/>
    <w:rsid w:val="006A2538"/>
    <w:rsid w:val="006A59F9"/>
    <w:rsid w:val="006A622C"/>
    <w:rsid w:val="006A6508"/>
    <w:rsid w:val="006A717C"/>
    <w:rsid w:val="006A77D7"/>
    <w:rsid w:val="006B402F"/>
    <w:rsid w:val="006B4605"/>
    <w:rsid w:val="006B5754"/>
    <w:rsid w:val="006B61C2"/>
    <w:rsid w:val="006C0FFD"/>
    <w:rsid w:val="006C2C6B"/>
    <w:rsid w:val="006C4245"/>
    <w:rsid w:val="006C5E4C"/>
    <w:rsid w:val="006C746B"/>
    <w:rsid w:val="006D08F9"/>
    <w:rsid w:val="006D14EE"/>
    <w:rsid w:val="006D1A0B"/>
    <w:rsid w:val="006D3539"/>
    <w:rsid w:val="006D4E73"/>
    <w:rsid w:val="006E0837"/>
    <w:rsid w:val="006E3083"/>
    <w:rsid w:val="006E3716"/>
    <w:rsid w:val="006F2CF9"/>
    <w:rsid w:val="006F681F"/>
    <w:rsid w:val="00700A14"/>
    <w:rsid w:val="007012B8"/>
    <w:rsid w:val="00701449"/>
    <w:rsid w:val="007034BC"/>
    <w:rsid w:val="00703BA5"/>
    <w:rsid w:val="0070552C"/>
    <w:rsid w:val="007076D4"/>
    <w:rsid w:val="00707BE0"/>
    <w:rsid w:val="00711747"/>
    <w:rsid w:val="007136AC"/>
    <w:rsid w:val="0071511A"/>
    <w:rsid w:val="007159CD"/>
    <w:rsid w:val="00721A27"/>
    <w:rsid w:val="00722C4C"/>
    <w:rsid w:val="00722DBD"/>
    <w:rsid w:val="007230DC"/>
    <w:rsid w:val="00725C42"/>
    <w:rsid w:val="007270DC"/>
    <w:rsid w:val="007273BF"/>
    <w:rsid w:val="00732868"/>
    <w:rsid w:val="00732E1B"/>
    <w:rsid w:val="00733283"/>
    <w:rsid w:val="00741909"/>
    <w:rsid w:val="007433F2"/>
    <w:rsid w:val="007447DA"/>
    <w:rsid w:val="00755D4F"/>
    <w:rsid w:val="00757040"/>
    <w:rsid w:val="00757F3E"/>
    <w:rsid w:val="00762621"/>
    <w:rsid w:val="00762B88"/>
    <w:rsid w:val="007642BD"/>
    <w:rsid w:val="00764B15"/>
    <w:rsid w:val="007668CC"/>
    <w:rsid w:val="00780CB1"/>
    <w:rsid w:val="00782712"/>
    <w:rsid w:val="0078392B"/>
    <w:rsid w:val="007841DD"/>
    <w:rsid w:val="00784A8B"/>
    <w:rsid w:val="007862AD"/>
    <w:rsid w:val="007865BB"/>
    <w:rsid w:val="00791FA2"/>
    <w:rsid w:val="00793B2F"/>
    <w:rsid w:val="00794444"/>
    <w:rsid w:val="007944A9"/>
    <w:rsid w:val="007954AE"/>
    <w:rsid w:val="00795D0D"/>
    <w:rsid w:val="00795F31"/>
    <w:rsid w:val="007A05C2"/>
    <w:rsid w:val="007A11CE"/>
    <w:rsid w:val="007A14A9"/>
    <w:rsid w:val="007A45B7"/>
    <w:rsid w:val="007A5E02"/>
    <w:rsid w:val="007A7AE8"/>
    <w:rsid w:val="007B052D"/>
    <w:rsid w:val="007B1449"/>
    <w:rsid w:val="007B2BFE"/>
    <w:rsid w:val="007B3A82"/>
    <w:rsid w:val="007B4729"/>
    <w:rsid w:val="007B4EE9"/>
    <w:rsid w:val="007B6F95"/>
    <w:rsid w:val="007B73CB"/>
    <w:rsid w:val="007B77D6"/>
    <w:rsid w:val="007B7A71"/>
    <w:rsid w:val="007C08A5"/>
    <w:rsid w:val="007C0E3F"/>
    <w:rsid w:val="007C1600"/>
    <w:rsid w:val="007C172F"/>
    <w:rsid w:val="007C215D"/>
    <w:rsid w:val="007C34FF"/>
    <w:rsid w:val="007C362D"/>
    <w:rsid w:val="007C3FFD"/>
    <w:rsid w:val="007C7A65"/>
    <w:rsid w:val="007D1A03"/>
    <w:rsid w:val="007D2983"/>
    <w:rsid w:val="007D5D7E"/>
    <w:rsid w:val="007E3B5D"/>
    <w:rsid w:val="007E5738"/>
    <w:rsid w:val="007E580D"/>
    <w:rsid w:val="007E6EAD"/>
    <w:rsid w:val="007F19F5"/>
    <w:rsid w:val="007F5C99"/>
    <w:rsid w:val="007F6ED1"/>
    <w:rsid w:val="00802017"/>
    <w:rsid w:val="0080302E"/>
    <w:rsid w:val="0081093A"/>
    <w:rsid w:val="00811DB8"/>
    <w:rsid w:val="00814DFC"/>
    <w:rsid w:val="00816094"/>
    <w:rsid w:val="00817723"/>
    <w:rsid w:val="00820E00"/>
    <w:rsid w:val="0082192D"/>
    <w:rsid w:val="00822DC8"/>
    <w:rsid w:val="0082303C"/>
    <w:rsid w:val="00824858"/>
    <w:rsid w:val="00825927"/>
    <w:rsid w:val="00825F6F"/>
    <w:rsid w:val="00827FC8"/>
    <w:rsid w:val="00831A48"/>
    <w:rsid w:val="00833A36"/>
    <w:rsid w:val="00834397"/>
    <w:rsid w:val="00835C18"/>
    <w:rsid w:val="00843753"/>
    <w:rsid w:val="00844503"/>
    <w:rsid w:val="00846A19"/>
    <w:rsid w:val="00850606"/>
    <w:rsid w:val="008519E6"/>
    <w:rsid w:val="00852E0A"/>
    <w:rsid w:val="00852E73"/>
    <w:rsid w:val="008539B2"/>
    <w:rsid w:val="00855D16"/>
    <w:rsid w:val="00856039"/>
    <w:rsid w:val="008565AB"/>
    <w:rsid w:val="008613FC"/>
    <w:rsid w:val="008619EF"/>
    <w:rsid w:val="00864FAF"/>
    <w:rsid w:val="00870552"/>
    <w:rsid w:val="00871B93"/>
    <w:rsid w:val="00872489"/>
    <w:rsid w:val="00872B2D"/>
    <w:rsid w:val="00872EA8"/>
    <w:rsid w:val="00876B6C"/>
    <w:rsid w:val="008772C7"/>
    <w:rsid w:val="00877618"/>
    <w:rsid w:val="00890EC1"/>
    <w:rsid w:val="00893233"/>
    <w:rsid w:val="008A16F7"/>
    <w:rsid w:val="008A1D94"/>
    <w:rsid w:val="008A362B"/>
    <w:rsid w:val="008A3827"/>
    <w:rsid w:val="008B1A67"/>
    <w:rsid w:val="008B234A"/>
    <w:rsid w:val="008B39BF"/>
    <w:rsid w:val="008B3A4F"/>
    <w:rsid w:val="008B4023"/>
    <w:rsid w:val="008B47AD"/>
    <w:rsid w:val="008C3490"/>
    <w:rsid w:val="008C63D9"/>
    <w:rsid w:val="008C70D3"/>
    <w:rsid w:val="008D2390"/>
    <w:rsid w:val="008E1E0C"/>
    <w:rsid w:val="008E35DF"/>
    <w:rsid w:val="008E541E"/>
    <w:rsid w:val="008E733F"/>
    <w:rsid w:val="008E7980"/>
    <w:rsid w:val="008F0D48"/>
    <w:rsid w:val="008F406B"/>
    <w:rsid w:val="008F4ADD"/>
    <w:rsid w:val="008F4E95"/>
    <w:rsid w:val="008F51D1"/>
    <w:rsid w:val="008F7C74"/>
    <w:rsid w:val="008F7FE9"/>
    <w:rsid w:val="009010B1"/>
    <w:rsid w:val="009028C8"/>
    <w:rsid w:val="00906161"/>
    <w:rsid w:val="00913332"/>
    <w:rsid w:val="009156F5"/>
    <w:rsid w:val="00915EA7"/>
    <w:rsid w:val="00916FE0"/>
    <w:rsid w:val="00917B85"/>
    <w:rsid w:val="00920372"/>
    <w:rsid w:val="0092147F"/>
    <w:rsid w:val="00926DBD"/>
    <w:rsid w:val="00927803"/>
    <w:rsid w:val="00927EFD"/>
    <w:rsid w:val="00930AC0"/>
    <w:rsid w:val="009313BA"/>
    <w:rsid w:val="0093480C"/>
    <w:rsid w:val="00936750"/>
    <w:rsid w:val="009378C2"/>
    <w:rsid w:val="00937A70"/>
    <w:rsid w:val="009416FD"/>
    <w:rsid w:val="00941BFF"/>
    <w:rsid w:val="00942DFF"/>
    <w:rsid w:val="009448BD"/>
    <w:rsid w:val="00944FF2"/>
    <w:rsid w:val="00950555"/>
    <w:rsid w:val="00951B4C"/>
    <w:rsid w:val="00951BC1"/>
    <w:rsid w:val="00951D92"/>
    <w:rsid w:val="00952733"/>
    <w:rsid w:val="00952825"/>
    <w:rsid w:val="009556B1"/>
    <w:rsid w:val="0095641C"/>
    <w:rsid w:val="00961132"/>
    <w:rsid w:val="009619CD"/>
    <w:rsid w:val="00961C2E"/>
    <w:rsid w:val="00961F96"/>
    <w:rsid w:val="00963012"/>
    <w:rsid w:val="00963A6D"/>
    <w:rsid w:val="00964770"/>
    <w:rsid w:val="00967CB7"/>
    <w:rsid w:val="00973004"/>
    <w:rsid w:val="0097527A"/>
    <w:rsid w:val="009753F2"/>
    <w:rsid w:val="00980F5A"/>
    <w:rsid w:val="0098288A"/>
    <w:rsid w:val="00982F6B"/>
    <w:rsid w:val="00983474"/>
    <w:rsid w:val="00983FF9"/>
    <w:rsid w:val="009844D4"/>
    <w:rsid w:val="00984A30"/>
    <w:rsid w:val="00984B73"/>
    <w:rsid w:val="00986B29"/>
    <w:rsid w:val="0099186C"/>
    <w:rsid w:val="009920B8"/>
    <w:rsid w:val="00992733"/>
    <w:rsid w:val="00992F98"/>
    <w:rsid w:val="00997D7B"/>
    <w:rsid w:val="009A02E4"/>
    <w:rsid w:val="009A0851"/>
    <w:rsid w:val="009A608C"/>
    <w:rsid w:val="009A7019"/>
    <w:rsid w:val="009A7763"/>
    <w:rsid w:val="009B04D4"/>
    <w:rsid w:val="009B1A8A"/>
    <w:rsid w:val="009B319D"/>
    <w:rsid w:val="009B31A8"/>
    <w:rsid w:val="009B3846"/>
    <w:rsid w:val="009B786F"/>
    <w:rsid w:val="009B7E85"/>
    <w:rsid w:val="009B7FA6"/>
    <w:rsid w:val="009C1438"/>
    <w:rsid w:val="009C294F"/>
    <w:rsid w:val="009C37AE"/>
    <w:rsid w:val="009C4D85"/>
    <w:rsid w:val="009C5EA2"/>
    <w:rsid w:val="009D022B"/>
    <w:rsid w:val="009D1133"/>
    <w:rsid w:val="009D16F5"/>
    <w:rsid w:val="009D3E54"/>
    <w:rsid w:val="009D5583"/>
    <w:rsid w:val="009D5D55"/>
    <w:rsid w:val="009D7083"/>
    <w:rsid w:val="009E0B08"/>
    <w:rsid w:val="009E0BCB"/>
    <w:rsid w:val="009E23B4"/>
    <w:rsid w:val="009E2775"/>
    <w:rsid w:val="009E2B67"/>
    <w:rsid w:val="009E2B8F"/>
    <w:rsid w:val="009E31AF"/>
    <w:rsid w:val="009F7619"/>
    <w:rsid w:val="009F7CC6"/>
    <w:rsid w:val="00A01C9E"/>
    <w:rsid w:val="00A03D71"/>
    <w:rsid w:val="00A04C1B"/>
    <w:rsid w:val="00A05EAF"/>
    <w:rsid w:val="00A0657D"/>
    <w:rsid w:val="00A07A01"/>
    <w:rsid w:val="00A07C06"/>
    <w:rsid w:val="00A1141E"/>
    <w:rsid w:val="00A12239"/>
    <w:rsid w:val="00A13494"/>
    <w:rsid w:val="00A152EB"/>
    <w:rsid w:val="00A211B1"/>
    <w:rsid w:val="00A22965"/>
    <w:rsid w:val="00A231DF"/>
    <w:rsid w:val="00A25237"/>
    <w:rsid w:val="00A27DA6"/>
    <w:rsid w:val="00A3120C"/>
    <w:rsid w:val="00A33AE1"/>
    <w:rsid w:val="00A33AEE"/>
    <w:rsid w:val="00A37FCB"/>
    <w:rsid w:val="00A419A9"/>
    <w:rsid w:val="00A43034"/>
    <w:rsid w:val="00A43F19"/>
    <w:rsid w:val="00A44AB6"/>
    <w:rsid w:val="00A459B3"/>
    <w:rsid w:val="00A51ED7"/>
    <w:rsid w:val="00A5453F"/>
    <w:rsid w:val="00A55C64"/>
    <w:rsid w:val="00A56AE8"/>
    <w:rsid w:val="00A60349"/>
    <w:rsid w:val="00A62F9D"/>
    <w:rsid w:val="00A654B6"/>
    <w:rsid w:val="00A65A6B"/>
    <w:rsid w:val="00A66503"/>
    <w:rsid w:val="00A7180A"/>
    <w:rsid w:val="00A7189F"/>
    <w:rsid w:val="00A76110"/>
    <w:rsid w:val="00A7630B"/>
    <w:rsid w:val="00A76402"/>
    <w:rsid w:val="00A8181D"/>
    <w:rsid w:val="00A81FD1"/>
    <w:rsid w:val="00A84A7D"/>
    <w:rsid w:val="00A86CAD"/>
    <w:rsid w:val="00A9072C"/>
    <w:rsid w:val="00A90D5D"/>
    <w:rsid w:val="00A916BF"/>
    <w:rsid w:val="00A93236"/>
    <w:rsid w:val="00A93B16"/>
    <w:rsid w:val="00A951F3"/>
    <w:rsid w:val="00A95D67"/>
    <w:rsid w:val="00A969AC"/>
    <w:rsid w:val="00AA033D"/>
    <w:rsid w:val="00AA1A26"/>
    <w:rsid w:val="00AA20AB"/>
    <w:rsid w:val="00AA2235"/>
    <w:rsid w:val="00AA34D0"/>
    <w:rsid w:val="00AA4FBE"/>
    <w:rsid w:val="00AB13FF"/>
    <w:rsid w:val="00AB2350"/>
    <w:rsid w:val="00AB30B4"/>
    <w:rsid w:val="00AB3319"/>
    <w:rsid w:val="00AB75F3"/>
    <w:rsid w:val="00AC3A93"/>
    <w:rsid w:val="00AC5021"/>
    <w:rsid w:val="00AC74FD"/>
    <w:rsid w:val="00AC794F"/>
    <w:rsid w:val="00AD0529"/>
    <w:rsid w:val="00AD240B"/>
    <w:rsid w:val="00AD476A"/>
    <w:rsid w:val="00AD5414"/>
    <w:rsid w:val="00AD5917"/>
    <w:rsid w:val="00AD6359"/>
    <w:rsid w:val="00AD656D"/>
    <w:rsid w:val="00AE1A29"/>
    <w:rsid w:val="00AE5358"/>
    <w:rsid w:val="00AE6B2E"/>
    <w:rsid w:val="00AF120A"/>
    <w:rsid w:val="00AF20B5"/>
    <w:rsid w:val="00AF33C0"/>
    <w:rsid w:val="00AF35F0"/>
    <w:rsid w:val="00AF4B0D"/>
    <w:rsid w:val="00AF4DB6"/>
    <w:rsid w:val="00AF5E3F"/>
    <w:rsid w:val="00B0063C"/>
    <w:rsid w:val="00B014C7"/>
    <w:rsid w:val="00B0206B"/>
    <w:rsid w:val="00B042C8"/>
    <w:rsid w:val="00B04C89"/>
    <w:rsid w:val="00B06699"/>
    <w:rsid w:val="00B1197C"/>
    <w:rsid w:val="00B121FA"/>
    <w:rsid w:val="00B1407C"/>
    <w:rsid w:val="00B14A5B"/>
    <w:rsid w:val="00B16927"/>
    <w:rsid w:val="00B16D31"/>
    <w:rsid w:val="00B201A1"/>
    <w:rsid w:val="00B20594"/>
    <w:rsid w:val="00B2099C"/>
    <w:rsid w:val="00B215DC"/>
    <w:rsid w:val="00B22AF5"/>
    <w:rsid w:val="00B24732"/>
    <w:rsid w:val="00B260DD"/>
    <w:rsid w:val="00B26D13"/>
    <w:rsid w:val="00B26DDD"/>
    <w:rsid w:val="00B30601"/>
    <w:rsid w:val="00B3260A"/>
    <w:rsid w:val="00B32A45"/>
    <w:rsid w:val="00B34250"/>
    <w:rsid w:val="00B34590"/>
    <w:rsid w:val="00B4205A"/>
    <w:rsid w:val="00B43BBD"/>
    <w:rsid w:val="00B441C0"/>
    <w:rsid w:val="00B4474C"/>
    <w:rsid w:val="00B44F83"/>
    <w:rsid w:val="00B45E56"/>
    <w:rsid w:val="00B464D1"/>
    <w:rsid w:val="00B47099"/>
    <w:rsid w:val="00B51F3A"/>
    <w:rsid w:val="00B55641"/>
    <w:rsid w:val="00B55EE3"/>
    <w:rsid w:val="00B5741C"/>
    <w:rsid w:val="00B603BD"/>
    <w:rsid w:val="00B614D9"/>
    <w:rsid w:val="00B616D2"/>
    <w:rsid w:val="00B636AE"/>
    <w:rsid w:val="00B63C9B"/>
    <w:rsid w:val="00B640C1"/>
    <w:rsid w:val="00B64923"/>
    <w:rsid w:val="00B663CA"/>
    <w:rsid w:val="00B722B1"/>
    <w:rsid w:val="00B7289A"/>
    <w:rsid w:val="00B72998"/>
    <w:rsid w:val="00B72C2B"/>
    <w:rsid w:val="00B72E65"/>
    <w:rsid w:val="00B754B1"/>
    <w:rsid w:val="00B8110B"/>
    <w:rsid w:val="00B81320"/>
    <w:rsid w:val="00B83601"/>
    <w:rsid w:val="00B857DE"/>
    <w:rsid w:val="00B90055"/>
    <w:rsid w:val="00B92346"/>
    <w:rsid w:val="00B92B84"/>
    <w:rsid w:val="00B93C6C"/>
    <w:rsid w:val="00B94DE0"/>
    <w:rsid w:val="00B94EA3"/>
    <w:rsid w:val="00BA313B"/>
    <w:rsid w:val="00BA3745"/>
    <w:rsid w:val="00BA3999"/>
    <w:rsid w:val="00BA3C88"/>
    <w:rsid w:val="00BA5C14"/>
    <w:rsid w:val="00BA7A41"/>
    <w:rsid w:val="00BB2590"/>
    <w:rsid w:val="00BB71A4"/>
    <w:rsid w:val="00BC3021"/>
    <w:rsid w:val="00BC3AFE"/>
    <w:rsid w:val="00BC425E"/>
    <w:rsid w:val="00BC4F90"/>
    <w:rsid w:val="00BC507F"/>
    <w:rsid w:val="00BC64FB"/>
    <w:rsid w:val="00BC6A8A"/>
    <w:rsid w:val="00BC6E45"/>
    <w:rsid w:val="00BD066D"/>
    <w:rsid w:val="00BD1DE1"/>
    <w:rsid w:val="00BD3D6D"/>
    <w:rsid w:val="00BD419E"/>
    <w:rsid w:val="00BD517A"/>
    <w:rsid w:val="00BE06EA"/>
    <w:rsid w:val="00BE1F93"/>
    <w:rsid w:val="00BE2D66"/>
    <w:rsid w:val="00BE3C31"/>
    <w:rsid w:val="00BE3D57"/>
    <w:rsid w:val="00BE4D80"/>
    <w:rsid w:val="00BE7632"/>
    <w:rsid w:val="00BF07CF"/>
    <w:rsid w:val="00BF190E"/>
    <w:rsid w:val="00BF3193"/>
    <w:rsid w:val="00BF7C02"/>
    <w:rsid w:val="00C002A7"/>
    <w:rsid w:val="00C01E38"/>
    <w:rsid w:val="00C06B66"/>
    <w:rsid w:val="00C07CD3"/>
    <w:rsid w:val="00C130FB"/>
    <w:rsid w:val="00C135C7"/>
    <w:rsid w:val="00C145CB"/>
    <w:rsid w:val="00C211EF"/>
    <w:rsid w:val="00C23AFC"/>
    <w:rsid w:val="00C23EB4"/>
    <w:rsid w:val="00C2437E"/>
    <w:rsid w:val="00C25A00"/>
    <w:rsid w:val="00C26AA9"/>
    <w:rsid w:val="00C316B2"/>
    <w:rsid w:val="00C31E6C"/>
    <w:rsid w:val="00C34A63"/>
    <w:rsid w:val="00C37978"/>
    <w:rsid w:val="00C40B4C"/>
    <w:rsid w:val="00C42A78"/>
    <w:rsid w:val="00C44578"/>
    <w:rsid w:val="00C46CCF"/>
    <w:rsid w:val="00C50655"/>
    <w:rsid w:val="00C509D5"/>
    <w:rsid w:val="00C52B9B"/>
    <w:rsid w:val="00C54DB5"/>
    <w:rsid w:val="00C55AD6"/>
    <w:rsid w:val="00C57A0C"/>
    <w:rsid w:val="00C57BE9"/>
    <w:rsid w:val="00C604DB"/>
    <w:rsid w:val="00C60F6B"/>
    <w:rsid w:val="00C6192B"/>
    <w:rsid w:val="00C620F3"/>
    <w:rsid w:val="00C629B4"/>
    <w:rsid w:val="00C64774"/>
    <w:rsid w:val="00C64AD1"/>
    <w:rsid w:val="00C65081"/>
    <w:rsid w:val="00C67957"/>
    <w:rsid w:val="00C67BB7"/>
    <w:rsid w:val="00C71744"/>
    <w:rsid w:val="00C71D79"/>
    <w:rsid w:val="00C722E0"/>
    <w:rsid w:val="00C80D4B"/>
    <w:rsid w:val="00C850C0"/>
    <w:rsid w:val="00C852E1"/>
    <w:rsid w:val="00C86708"/>
    <w:rsid w:val="00C86883"/>
    <w:rsid w:val="00C8745B"/>
    <w:rsid w:val="00C9082D"/>
    <w:rsid w:val="00C912C4"/>
    <w:rsid w:val="00C91BE9"/>
    <w:rsid w:val="00C91C1E"/>
    <w:rsid w:val="00C936D8"/>
    <w:rsid w:val="00C9679F"/>
    <w:rsid w:val="00C97862"/>
    <w:rsid w:val="00CA2DD8"/>
    <w:rsid w:val="00CA59CB"/>
    <w:rsid w:val="00CA79BF"/>
    <w:rsid w:val="00CB14EB"/>
    <w:rsid w:val="00CB1B15"/>
    <w:rsid w:val="00CB3D0E"/>
    <w:rsid w:val="00CB4143"/>
    <w:rsid w:val="00CB5F54"/>
    <w:rsid w:val="00CB7473"/>
    <w:rsid w:val="00CC1E21"/>
    <w:rsid w:val="00CC4BD9"/>
    <w:rsid w:val="00CC563E"/>
    <w:rsid w:val="00CC66AB"/>
    <w:rsid w:val="00CC7F4A"/>
    <w:rsid w:val="00CD4449"/>
    <w:rsid w:val="00CD5C96"/>
    <w:rsid w:val="00CD635C"/>
    <w:rsid w:val="00CE0133"/>
    <w:rsid w:val="00CE0526"/>
    <w:rsid w:val="00CE07FF"/>
    <w:rsid w:val="00CE0FFC"/>
    <w:rsid w:val="00CE1633"/>
    <w:rsid w:val="00CE2E56"/>
    <w:rsid w:val="00CE41B0"/>
    <w:rsid w:val="00CE730E"/>
    <w:rsid w:val="00CE7666"/>
    <w:rsid w:val="00D01786"/>
    <w:rsid w:val="00D0208C"/>
    <w:rsid w:val="00D0226C"/>
    <w:rsid w:val="00D03397"/>
    <w:rsid w:val="00D06674"/>
    <w:rsid w:val="00D06F37"/>
    <w:rsid w:val="00D103DF"/>
    <w:rsid w:val="00D10ADD"/>
    <w:rsid w:val="00D1106A"/>
    <w:rsid w:val="00D112B4"/>
    <w:rsid w:val="00D12F03"/>
    <w:rsid w:val="00D14CD6"/>
    <w:rsid w:val="00D14EED"/>
    <w:rsid w:val="00D15A7C"/>
    <w:rsid w:val="00D217CF"/>
    <w:rsid w:val="00D22D24"/>
    <w:rsid w:val="00D22FCA"/>
    <w:rsid w:val="00D24D05"/>
    <w:rsid w:val="00D26AA6"/>
    <w:rsid w:val="00D33A81"/>
    <w:rsid w:val="00D3467E"/>
    <w:rsid w:val="00D40CF9"/>
    <w:rsid w:val="00D410AD"/>
    <w:rsid w:val="00D422CF"/>
    <w:rsid w:val="00D434AA"/>
    <w:rsid w:val="00D43FF2"/>
    <w:rsid w:val="00D44BB9"/>
    <w:rsid w:val="00D459E0"/>
    <w:rsid w:val="00D47D7D"/>
    <w:rsid w:val="00D51AF5"/>
    <w:rsid w:val="00D51C79"/>
    <w:rsid w:val="00D51FA1"/>
    <w:rsid w:val="00D604C3"/>
    <w:rsid w:val="00D623C9"/>
    <w:rsid w:val="00D63EB9"/>
    <w:rsid w:val="00D64F9F"/>
    <w:rsid w:val="00D6606F"/>
    <w:rsid w:val="00D66AC7"/>
    <w:rsid w:val="00D670F4"/>
    <w:rsid w:val="00D67432"/>
    <w:rsid w:val="00D67767"/>
    <w:rsid w:val="00D677B8"/>
    <w:rsid w:val="00D7642D"/>
    <w:rsid w:val="00D7692D"/>
    <w:rsid w:val="00D81EF2"/>
    <w:rsid w:val="00D836EA"/>
    <w:rsid w:val="00D858BC"/>
    <w:rsid w:val="00D8676D"/>
    <w:rsid w:val="00D8795B"/>
    <w:rsid w:val="00D87E9A"/>
    <w:rsid w:val="00D92F5B"/>
    <w:rsid w:val="00D93A46"/>
    <w:rsid w:val="00D93BC3"/>
    <w:rsid w:val="00D93D9E"/>
    <w:rsid w:val="00D97225"/>
    <w:rsid w:val="00D97260"/>
    <w:rsid w:val="00D97BEB"/>
    <w:rsid w:val="00D97E78"/>
    <w:rsid w:val="00DA0820"/>
    <w:rsid w:val="00DA283E"/>
    <w:rsid w:val="00DA4700"/>
    <w:rsid w:val="00DA5C5C"/>
    <w:rsid w:val="00DA70FB"/>
    <w:rsid w:val="00DB0F59"/>
    <w:rsid w:val="00DB1947"/>
    <w:rsid w:val="00DB264A"/>
    <w:rsid w:val="00DB2D18"/>
    <w:rsid w:val="00DB3B40"/>
    <w:rsid w:val="00DB3BC4"/>
    <w:rsid w:val="00DB4044"/>
    <w:rsid w:val="00DB5B79"/>
    <w:rsid w:val="00DB64C8"/>
    <w:rsid w:val="00DC1EAA"/>
    <w:rsid w:val="00DC216B"/>
    <w:rsid w:val="00DC23AA"/>
    <w:rsid w:val="00DC252B"/>
    <w:rsid w:val="00DC3323"/>
    <w:rsid w:val="00DC5070"/>
    <w:rsid w:val="00DC5AAF"/>
    <w:rsid w:val="00DC5F24"/>
    <w:rsid w:val="00DC7D45"/>
    <w:rsid w:val="00DD0F4A"/>
    <w:rsid w:val="00DD1361"/>
    <w:rsid w:val="00DD1D47"/>
    <w:rsid w:val="00DD2C31"/>
    <w:rsid w:val="00DD2FEA"/>
    <w:rsid w:val="00DD3182"/>
    <w:rsid w:val="00DD5DCD"/>
    <w:rsid w:val="00DE373C"/>
    <w:rsid w:val="00DE3D82"/>
    <w:rsid w:val="00DE4270"/>
    <w:rsid w:val="00DE4B37"/>
    <w:rsid w:val="00DE6354"/>
    <w:rsid w:val="00DE7DCC"/>
    <w:rsid w:val="00DF081A"/>
    <w:rsid w:val="00DF18D3"/>
    <w:rsid w:val="00DF2436"/>
    <w:rsid w:val="00DF3EC7"/>
    <w:rsid w:val="00DF500C"/>
    <w:rsid w:val="00DF6F24"/>
    <w:rsid w:val="00DF76D4"/>
    <w:rsid w:val="00DF7ADE"/>
    <w:rsid w:val="00DF7DBE"/>
    <w:rsid w:val="00E005A3"/>
    <w:rsid w:val="00E02223"/>
    <w:rsid w:val="00E03CA8"/>
    <w:rsid w:val="00E03F1A"/>
    <w:rsid w:val="00E06DBA"/>
    <w:rsid w:val="00E07419"/>
    <w:rsid w:val="00E077DF"/>
    <w:rsid w:val="00E13C52"/>
    <w:rsid w:val="00E13D45"/>
    <w:rsid w:val="00E171D5"/>
    <w:rsid w:val="00E17A5B"/>
    <w:rsid w:val="00E22047"/>
    <w:rsid w:val="00E22331"/>
    <w:rsid w:val="00E24C42"/>
    <w:rsid w:val="00E25456"/>
    <w:rsid w:val="00E25EF9"/>
    <w:rsid w:val="00E2651F"/>
    <w:rsid w:val="00E347AE"/>
    <w:rsid w:val="00E35B5D"/>
    <w:rsid w:val="00E40488"/>
    <w:rsid w:val="00E44FE0"/>
    <w:rsid w:val="00E50D46"/>
    <w:rsid w:val="00E518FF"/>
    <w:rsid w:val="00E53B50"/>
    <w:rsid w:val="00E55EE4"/>
    <w:rsid w:val="00E56A53"/>
    <w:rsid w:val="00E601A6"/>
    <w:rsid w:val="00E602F6"/>
    <w:rsid w:val="00E609BB"/>
    <w:rsid w:val="00E613F3"/>
    <w:rsid w:val="00E62C11"/>
    <w:rsid w:val="00E64186"/>
    <w:rsid w:val="00E6492F"/>
    <w:rsid w:val="00E64CCE"/>
    <w:rsid w:val="00E7173E"/>
    <w:rsid w:val="00E71906"/>
    <w:rsid w:val="00E72253"/>
    <w:rsid w:val="00E74ED7"/>
    <w:rsid w:val="00E75A4E"/>
    <w:rsid w:val="00E762F5"/>
    <w:rsid w:val="00E77D08"/>
    <w:rsid w:val="00E77EF3"/>
    <w:rsid w:val="00E83B9F"/>
    <w:rsid w:val="00E86104"/>
    <w:rsid w:val="00E87F73"/>
    <w:rsid w:val="00E90785"/>
    <w:rsid w:val="00E929DE"/>
    <w:rsid w:val="00E94330"/>
    <w:rsid w:val="00E944D9"/>
    <w:rsid w:val="00E94E40"/>
    <w:rsid w:val="00EA34AC"/>
    <w:rsid w:val="00EA5F9C"/>
    <w:rsid w:val="00EA636B"/>
    <w:rsid w:val="00EA77C8"/>
    <w:rsid w:val="00EB0E70"/>
    <w:rsid w:val="00EB12F3"/>
    <w:rsid w:val="00EB3EA2"/>
    <w:rsid w:val="00EB45EE"/>
    <w:rsid w:val="00EB4F43"/>
    <w:rsid w:val="00EB579A"/>
    <w:rsid w:val="00EB6EBB"/>
    <w:rsid w:val="00EB74DF"/>
    <w:rsid w:val="00EC11B6"/>
    <w:rsid w:val="00EC2F13"/>
    <w:rsid w:val="00ED02CB"/>
    <w:rsid w:val="00ED1403"/>
    <w:rsid w:val="00ED3DB4"/>
    <w:rsid w:val="00EE0051"/>
    <w:rsid w:val="00EE3989"/>
    <w:rsid w:val="00EE5ADD"/>
    <w:rsid w:val="00EE719D"/>
    <w:rsid w:val="00EE7F37"/>
    <w:rsid w:val="00EF0AA4"/>
    <w:rsid w:val="00EF1CDF"/>
    <w:rsid w:val="00EF1E1F"/>
    <w:rsid w:val="00EF20C3"/>
    <w:rsid w:val="00EF33FC"/>
    <w:rsid w:val="00EF4FE6"/>
    <w:rsid w:val="00EF5EEE"/>
    <w:rsid w:val="00F013DD"/>
    <w:rsid w:val="00F01442"/>
    <w:rsid w:val="00F03519"/>
    <w:rsid w:val="00F07067"/>
    <w:rsid w:val="00F0725E"/>
    <w:rsid w:val="00F107D7"/>
    <w:rsid w:val="00F120E3"/>
    <w:rsid w:val="00F1219B"/>
    <w:rsid w:val="00F15778"/>
    <w:rsid w:val="00F15989"/>
    <w:rsid w:val="00F1706F"/>
    <w:rsid w:val="00F208D1"/>
    <w:rsid w:val="00F22831"/>
    <w:rsid w:val="00F334AD"/>
    <w:rsid w:val="00F36D82"/>
    <w:rsid w:val="00F465E9"/>
    <w:rsid w:val="00F50914"/>
    <w:rsid w:val="00F51747"/>
    <w:rsid w:val="00F52FEB"/>
    <w:rsid w:val="00F53184"/>
    <w:rsid w:val="00F53676"/>
    <w:rsid w:val="00F53B1F"/>
    <w:rsid w:val="00F5432D"/>
    <w:rsid w:val="00F545A9"/>
    <w:rsid w:val="00F55107"/>
    <w:rsid w:val="00F561DA"/>
    <w:rsid w:val="00F57659"/>
    <w:rsid w:val="00F5777B"/>
    <w:rsid w:val="00F613DE"/>
    <w:rsid w:val="00F6273F"/>
    <w:rsid w:val="00F62D15"/>
    <w:rsid w:val="00F62F98"/>
    <w:rsid w:val="00F63D7C"/>
    <w:rsid w:val="00F6641F"/>
    <w:rsid w:val="00F724DF"/>
    <w:rsid w:val="00F74A2D"/>
    <w:rsid w:val="00F77B31"/>
    <w:rsid w:val="00F8000A"/>
    <w:rsid w:val="00F80617"/>
    <w:rsid w:val="00F819B7"/>
    <w:rsid w:val="00F83DB5"/>
    <w:rsid w:val="00F85630"/>
    <w:rsid w:val="00F85B35"/>
    <w:rsid w:val="00F85D48"/>
    <w:rsid w:val="00F87848"/>
    <w:rsid w:val="00F901C7"/>
    <w:rsid w:val="00F91168"/>
    <w:rsid w:val="00F91193"/>
    <w:rsid w:val="00F9240D"/>
    <w:rsid w:val="00F93136"/>
    <w:rsid w:val="00F9540F"/>
    <w:rsid w:val="00F95D7C"/>
    <w:rsid w:val="00F96137"/>
    <w:rsid w:val="00FA0964"/>
    <w:rsid w:val="00FA2AE8"/>
    <w:rsid w:val="00FA2C7E"/>
    <w:rsid w:val="00FA4434"/>
    <w:rsid w:val="00FA44E3"/>
    <w:rsid w:val="00FA463C"/>
    <w:rsid w:val="00FA5B67"/>
    <w:rsid w:val="00FB058C"/>
    <w:rsid w:val="00FB2069"/>
    <w:rsid w:val="00FB348A"/>
    <w:rsid w:val="00FB4005"/>
    <w:rsid w:val="00FB40AE"/>
    <w:rsid w:val="00FB4BF6"/>
    <w:rsid w:val="00FB6BC2"/>
    <w:rsid w:val="00FC037D"/>
    <w:rsid w:val="00FC0BB3"/>
    <w:rsid w:val="00FC3B5F"/>
    <w:rsid w:val="00FC417E"/>
    <w:rsid w:val="00FC7C3B"/>
    <w:rsid w:val="00FD246A"/>
    <w:rsid w:val="00FD45F5"/>
    <w:rsid w:val="00FD793C"/>
    <w:rsid w:val="00FE0772"/>
    <w:rsid w:val="00FE6B28"/>
    <w:rsid w:val="00FE717F"/>
    <w:rsid w:val="00FF01F9"/>
    <w:rsid w:val="00FF02CE"/>
    <w:rsid w:val="00FF0BB1"/>
    <w:rsid w:val="00FF3338"/>
    <w:rsid w:val="00FF51FE"/>
    <w:rsid w:val="01093094"/>
    <w:rsid w:val="01253A58"/>
    <w:rsid w:val="015C1EA7"/>
    <w:rsid w:val="0173041C"/>
    <w:rsid w:val="01CC3850"/>
    <w:rsid w:val="02170F04"/>
    <w:rsid w:val="023F0255"/>
    <w:rsid w:val="026758D6"/>
    <w:rsid w:val="02841150"/>
    <w:rsid w:val="02877755"/>
    <w:rsid w:val="029C7E81"/>
    <w:rsid w:val="02A3532D"/>
    <w:rsid w:val="02D846B8"/>
    <w:rsid w:val="033762F3"/>
    <w:rsid w:val="03BC0544"/>
    <w:rsid w:val="03F20747"/>
    <w:rsid w:val="03F52EF1"/>
    <w:rsid w:val="04125B27"/>
    <w:rsid w:val="04405EF5"/>
    <w:rsid w:val="04CB4543"/>
    <w:rsid w:val="04D00B28"/>
    <w:rsid w:val="04D20ABE"/>
    <w:rsid w:val="04D45D7E"/>
    <w:rsid w:val="04E03234"/>
    <w:rsid w:val="04E37A71"/>
    <w:rsid w:val="05016B4B"/>
    <w:rsid w:val="051C35DB"/>
    <w:rsid w:val="051C5E70"/>
    <w:rsid w:val="05282872"/>
    <w:rsid w:val="05417DE5"/>
    <w:rsid w:val="054B2F76"/>
    <w:rsid w:val="05A723F5"/>
    <w:rsid w:val="05BD06FC"/>
    <w:rsid w:val="067316D1"/>
    <w:rsid w:val="06BC1B26"/>
    <w:rsid w:val="06C44D76"/>
    <w:rsid w:val="06CC6A93"/>
    <w:rsid w:val="06F13B3E"/>
    <w:rsid w:val="070A07A8"/>
    <w:rsid w:val="07146FB9"/>
    <w:rsid w:val="07500898"/>
    <w:rsid w:val="0761543E"/>
    <w:rsid w:val="07AB6B7C"/>
    <w:rsid w:val="07B01C17"/>
    <w:rsid w:val="07B9665C"/>
    <w:rsid w:val="081211A8"/>
    <w:rsid w:val="08141EDE"/>
    <w:rsid w:val="081960F2"/>
    <w:rsid w:val="08270E73"/>
    <w:rsid w:val="089A55A5"/>
    <w:rsid w:val="089C7FF6"/>
    <w:rsid w:val="08A15572"/>
    <w:rsid w:val="08CA7B8D"/>
    <w:rsid w:val="08D4009D"/>
    <w:rsid w:val="091D084E"/>
    <w:rsid w:val="09513B09"/>
    <w:rsid w:val="095A6032"/>
    <w:rsid w:val="09770669"/>
    <w:rsid w:val="097A2812"/>
    <w:rsid w:val="09A031B0"/>
    <w:rsid w:val="09A135F5"/>
    <w:rsid w:val="09C311AA"/>
    <w:rsid w:val="09D12390"/>
    <w:rsid w:val="09E82FB9"/>
    <w:rsid w:val="0A0559E5"/>
    <w:rsid w:val="0A1916F1"/>
    <w:rsid w:val="0A780F57"/>
    <w:rsid w:val="0A815DBA"/>
    <w:rsid w:val="0A8623F2"/>
    <w:rsid w:val="0A9415D8"/>
    <w:rsid w:val="0AB73C09"/>
    <w:rsid w:val="0ACB7E04"/>
    <w:rsid w:val="0AD61955"/>
    <w:rsid w:val="0B2F28B6"/>
    <w:rsid w:val="0B467838"/>
    <w:rsid w:val="0B5A55F4"/>
    <w:rsid w:val="0B8C77D2"/>
    <w:rsid w:val="0BCB7B52"/>
    <w:rsid w:val="0BD41FF2"/>
    <w:rsid w:val="0BEA010E"/>
    <w:rsid w:val="0C0A307C"/>
    <w:rsid w:val="0C0D3E03"/>
    <w:rsid w:val="0C493483"/>
    <w:rsid w:val="0C6611F3"/>
    <w:rsid w:val="0C7D50BB"/>
    <w:rsid w:val="0C8341EE"/>
    <w:rsid w:val="0CCB3EDA"/>
    <w:rsid w:val="0CF2445C"/>
    <w:rsid w:val="0D480602"/>
    <w:rsid w:val="0D6D7947"/>
    <w:rsid w:val="0DCF16A0"/>
    <w:rsid w:val="0E1952BC"/>
    <w:rsid w:val="0E7320F2"/>
    <w:rsid w:val="0E7E0622"/>
    <w:rsid w:val="0EAC613E"/>
    <w:rsid w:val="0EEB1260"/>
    <w:rsid w:val="0F025425"/>
    <w:rsid w:val="0F12677D"/>
    <w:rsid w:val="0F216B35"/>
    <w:rsid w:val="0F261512"/>
    <w:rsid w:val="0F4E7B7D"/>
    <w:rsid w:val="0F8333F8"/>
    <w:rsid w:val="0F861837"/>
    <w:rsid w:val="0F8A693D"/>
    <w:rsid w:val="0FB50E3E"/>
    <w:rsid w:val="0FBB3AFC"/>
    <w:rsid w:val="0FCA58C9"/>
    <w:rsid w:val="10055EF5"/>
    <w:rsid w:val="103F0EA7"/>
    <w:rsid w:val="10502355"/>
    <w:rsid w:val="10540347"/>
    <w:rsid w:val="1090662E"/>
    <w:rsid w:val="10AD401D"/>
    <w:rsid w:val="10B74A66"/>
    <w:rsid w:val="10CC6361"/>
    <w:rsid w:val="110747F6"/>
    <w:rsid w:val="110E4669"/>
    <w:rsid w:val="11130439"/>
    <w:rsid w:val="116D3136"/>
    <w:rsid w:val="1175763D"/>
    <w:rsid w:val="117F7F8E"/>
    <w:rsid w:val="11A55ACF"/>
    <w:rsid w:val="11FA2E6A"/>
    <w:rsid w:val="127048CC"/>
    <w:rsid w:val="12C00896"/>
    <w:rsid w:val="12C36682"/>
    <w:rsid w:val="130F1CE4"/>
    <w:rsid w:val="13102457"/>
    <w:rsid w:val="13342BF5"/>
    <w:rsid w:val="133F55CE"/>
    <w:rsid w:val="13492DF1"/>
    <w:rsid w:val="136C023C"/>
    <w:rsid w:val="137C6C33"/>
    <w:rsid w:val="13821925"/>
    <w:rsid w:val="138D7A19"/>
    <w:rsid w:val="13C77161"/>
    <w:rsid w:val="13C95AD6"/>
    <w:rsid w:val="13CA2691"/>
    <w:rsid w:val="13E32FD7"/>
    <w:rsid w:val="13F62AE5"/>
    <w:rsid w:val="14491299"/>
    <w:rsid w:val="14771D1F"/>
    <w:rsid w:val="14781C3E"/>
    <w:rsid w:val="14B04A39"/>
    <w:rsid w:val="150A0B95"/>
    <w:rsid w:val="151911FF"/>
    <w:rsid w:val="15522CFE"/>
    <w:rsid w:val="155A1811"/>
    <w:rsid w:val="158912D9"/>
    <w:rsid w:val="15950AE6"/>
    <w:rsid w:val="15CF24FE"/>
    <w:rsid w:val="15E203D9"/>
    <w:rsid w:val="15F97213"/>
    <w:rsid w:val="16195F04"/>
    <w:rsid w:val="162D28E7"/>
    <w:rsid w:val="167353EE"/>
    <w:rsid w:val="167D6055"/>
    <w:rsid w:val="16842433"/>
    <w:rsid w:val="16AC14FD"/>
    <w:rsid w:val="16AE0E93"/>
    <w:rsid w:val="16DE6A2A"/>
    <w:rsid w:val="16F07805"/>
    <w:rsid w:val="16F70F8B"/>
    <w:rsid w:val="16FF0BEB"/>
    <w:rsid w:val="173F3419"/>
    <w:rsid w:val="17563899"/>
    <w:rsid w:val="17740C91"/>
    <w:rsid w:val="17A2449F"/>
    <w:rsid w:val="17D85FF5"/>
    <w:rsid w:val="17E402DB"/>
    <w:rsid w:val="180C3E98"/>
    <w:rsid w:val="183B3FDA"/>
    <w:rsid w:val="18571B64"/>
    <w:rsid w:val="18582F89"/>
    <w:rsid w:val="18692D27"/>
    <w:rsid w:val="186A4A32"/>
    <w:rsid w:val="18BB18BB"/>
    <w:rsid w:val="18D90919"/>
    <w:rsid w:val="18ED62A9"/>
    <w:rsid w:val="192E42A2"/>
    <w:rsid w:val="197741B7"/>
    <w:rsid w:val="1A00166C"/>
    <w:rsid w:val="1A013743"/>
    <w:rsid w:val="1A1B6C8F"/>
    <w:rsid w:val="1A237B29"/>
    <w:rsid w:val="1A695BEB"/>
    <w:rsid w:val="1A6C298A"/>
    <w:rsid w:val="1A870A58"/>
    <w:rsid w:val="1AA716C7"/>
    <w:rsid w:val="1AAE4418"/>
    <w:rsid w:val="1AE45887"/>
    <w:rsid w:val="1B136731"/>
    <w:rsid w:val="1B1A6FFF"/>
    <w:rsid w:val="1BAC38B5"/>
    <w:rsid w:val="1C27399A"/>
    <w:rsid w:val="1C282CD6"/>
    <w:rsid w:val="1C474804"/>
    <w:rsid w:val="1C4E4039"/>
    <w:rsid w:val="1C5419D0"/>
    <w:rsid w:val="1C5E47D1"/>
    <w:rsid w:val="1C8B093C"/>
    <w:rsid w:val="1CA405B7"/>
    <w:rsid w:val="1CB417BD"/>
    <w:rsid w:val="1CD65E9E"/>
    <w:rsid w:val="1CDA474F"/>
    <w:rsid w:val="1CF833B3"/>
    <w:rsid w:val="1CFC0397"/>
    <w:rsid w:val="1D063103"/>
    <w:rsid w:val="1D073C31"/>
    <w:rsid w:val="1D241C7A"/>
    <w:rsid w:val="1D3665B6"/>
    <w:rsid w:val="1D4B55DD"/>
    <w:rsid w:val="1D737B26"/>
    <w:rsid w:val="1D7D241B"/>
    <w:rsid w:val="1D7F06FC"/>
    <w:rsid w:val="1D93056A"/>
    <w:rsid w:val="1D981EFB"/>
    <w:rsid w:val="1DA26C86"/>
    <w:rsid w:val="1DB9636F"/>
    <w:rsid w:val="1DE12999"/>
    <w:rsid w:val="1DE228C8"/>
    <w:rsid w:val="1DE37399"/>
    <w:rsid w:val="1DEB09C4"/>
    <w:rsid w:val="1E15454F"/>
    <w:rsid w:val="1E6C5A32"/>
    <w:rsid w:val="1E754C45"/>
    <w:rsid w:val="1E8813DC"/>
    <w:rsid w:val="1E92490C"/>
    <w:rsid w:val="1E9453C1"/>
    <w:rsid w:val="1E996AAA"/>
    <w:rsid w:val="1ED05424"/>
    <w:rsid w:val="1EF10808"/>
    <w:rsid w:val="1EF641AA"/>
    <w:rsid w:val="1F761DFB"/>
    <w:rsid w:val="1F8120B0"/>
    <w:rsid w:val="1F9808F2"/>
    <w:rsid w:val="1FA73982"/>
    <w:rsid w:val="1FB06431"/>
    <w:rsid w:val="1FC4726F"/>
    <w:rsid w:val="1FDF69A1"/>
    <w:rsid w:val="200B2803"/>
    <w:rsid w:val="200F3E56"/>
    <w:rsid w:val="203E252B"/>
    <w:rsid w:val="20437D8D"/>
    <w:rsid w:val="20934F37"/>
    <w:rsid w:val="209D6AB6"/>
    <w:rsid w:val="20C435A3"/>
    <w:rsid w:val="20CD00EC"/>
    <w:rsid w:val="21327E91"/>
    <w:rsid w:val="215965D0"/>
    <w:rsid w:val="2171044D"/>
    <w:rsid w:val="21C504E5"/>
    <w:rsid w:val="221C1470"/>
    <w:rsid w:val="223023CA"/>
    <w:rsid w:val="229F3643"/>
    <w:rsid w:val="22BE7821"/>
    <w:rsid w:val="22C77B06"/>
    <w:rsid w:val="22CA2100"/>
    <w:rsid w:val="22DD7BC5"/>
    <w:rsid w:val="22E75635"/>
    <w:rsid w:val="23021ACF"/>
    <w:rsid w:val="230304E2"/>
    <w:rsid w:val="23190FEE"/>
    <w:rsid w:val="233D6746"/>
    <w:rsid w:val="233E4C74"/>
    <w:rsid w:val="235468EF"/>
    <w:rsid w:val="23760E14"/>
    <w:rsid w:val="23774605"/>
    <w:rsid w:val="23A9776E"/>
    <w:rsid w:val="23AC0865"/>
    <w:rsid w:val="24493731"/>
    <w:rsid w:val="24640CB9"/>
    <w:rsid w:val="2468321F"/>
    <w:rsid w:val="2469252F"/>
    <w:rsid w:val="2469715E"/>
    <w:rsid w:val="24A32E92"/>
    <w:rsid w:val="24CA6EB1"/>
    <w:rsid w:val="24D208AD"/>
    <w:rsid w:val="24F62B7C"/>
    <w:rsid w:val="24FC1CF3"/>
    <w:rsid w:val="254472C5"/>
    <w:rsid w:val="2548256C"/>
    <w:rsid w:val="25487065"/>
    <w:rsid w:val="2564150A"/>
    <w:rsid w:val="25685AA0"/>
    <w:rsid w:val="256F72AC"/>
    <w:rsid w:val="2577528F"/>
    <w:rsid w:val="257C6B21"/>
    <w:rsid w:val="257D310E"/>
    <w:rsid w:val="257F2ACE"/>
    <w:rsid w:val="258958EB"/>
    <w:rsid w:val="258F066F"/>
    <w:rsid w:val="25974A07"/>
    <w:rsid w:val="25AC6510"/>
    <w:rsid w:val="25D92964"/>
    <w:rsid w:val="25E24B11"/>
    <w:rsid w:val="25F46178"/>
    <w:rsid w:val="26531E3A"/>
    <w:rsid w:val="26B618DB"/>
    <w:rsid w:val="26F22AC6"/>
    <w:rsid w:val="27225A1D"/>
    <w:rsid w:val="272E4CD8"/>
    <w:rsid w:val="273A4B5D"/>
    <w:rsid w:val="275664D1"/>
    <w:rsid w:val="275E2B1F"/>
    <w:rsid w:val="27AC2A2D"/>
    <w:rsid w:val="27D318DA"/>
    <w:rsid w:val="27DD2494"/>
    <w:rsid w:val="283E3920"/>
    <w:rsid w:val="284B4E64"/>
    <w:rsid w:val="2851175C"/>
    <w:rsid w:val="285A6ADF"/>
    <w:rsid w:val="285E7DC9"/>
    <w:rsid w:val="286F1240"/>
    <w:rsid w:val="288975F4"/>
    <w:rsid w:val="28975FA7"/>
    <w:rsid w:val="289A1E31"/>
    <w:rsid w:val="28E22C4F"/>
    <w:rsid w:val="294F6AB7"/>
    <w:rsid w:val="295D3161"/>
    <w:rsid w:val="29721B8C"/>
    <w:rsid w:val="297C04D8"/>
    <w:rsid w:val="299D6330"/>
    <w:rsid w:val="29A90AEF"/>
    <w:rsid w:val="29DC0CC4"/>
    <w:rsid w:val="29F54ECF"/>
    <w:rsid w:val="2A1467A4"/>
    <w:rsid w:val="2A4A6748"/>
    <w:rsid w:val="2A7943AA"/>
    <w:rsid w:val="2A7D0064"/>
    <w:rsid w:val="2AB743BD"/>
    <w:rsid w:val="2AE44F75"/>
    <w:rsid w:val="2AFE60ED"/>
    <w:rsid w:val="2B011741"/>
    <w:rsid w:val="2B0F4F64"/>
    <w:rsid w:val="2B350B31"/>
    <w:rsid w:val="2B5255F1"/>
    <w:rsid w:val="2B71643B"/>
    <w:rsid w:val="2BBC4FF0"/>
    <w:rsid w:val="2BC453CE"/>
    <w:rsid w:val="2BDA3937"/>
    <w:rsid w:val="2BE13DE9"/>
    <w:rsid w:val="2BF34443"/>
    <w:rsid w:val="2BFB3A47"/>
    <w:rsid w:val="2C105004"/>
    <w:rsid w:val="2C455EAE"/>
    <w:rsid w:val="2C711977"/>
    <w:rsid w:val="2CA07818"/>
    <w:rsid w:val="2CC67300"/>
    <w:rsid w:val="2CD8555D"/>
    <w:rsid w:val="2D785C86"/>
    <w:rsid w:val="2DF205DC"/>
    <w:rsid w:val="2DF65358"/>
    <w:rsid w:val="2E2D7615"/>
    <w:rsid w:val="2E3B2857"/>
    <w:rsid w:val="2E6179A8"/>
    <w:rsid w:val="2EB36E2A"/>
    <w:rsid w:val="2EF27C82"/>
    <w:rsid w:val="2F08136C"/>
    <w:rsid w:val="2F12698E"/>
    <w:rsid w:val="2F13157D"/>
    <w:rsid w:val="2F714B28"/>
    <w:rsid w:val="2FFD1157"/>
    <w:rsid w:val="302D7407"/>
    <w:rsid w:val="30436462"/>
    <w:rsid w:val="305F14D4"/>
    <w:rsid w:val="30723C47"/>
    <w:rsid w:val="3076754F"/>
    <w:rsid w:val="30952E40"/>
    <w:rsid w:val="30A15BF6"/>
    <w:rsid w:val="30B32D1D"/>
    <w:rsid w:val="30C9307E"/>
    <w:rsid w:val="30E62C86"/>
    <w:rsid w:val="30F26E62"/>
    <w:rsid w:val="31084B1B"/>
    <w:rsid w:val="312B63FB"/>
    <w:rsid w:val="31764E0B"/>
    <w:rsid w:val="31771A3C"/>
    <w:rsid w:val="319B1F1B"/>
    <w:rsid w:val="319C2CCB"/>
    <w:rsid w:val="31A25D06"/>
    <w:rsid w:val="31BA2245"/>
    <w:rsid w:val="31E12341"/>
    <w:rsid w:val="32104C3B"/>
    <w:rsid w:val="3215201F"/>
    <w:rsid w:val="323A109A"/>
    <w:rsid w:val="32533064"/>
    <w:rsid w:val="326A1568"/>
    <w:rsid w:val="326A15DE"/>
    <w:rsid w:val="32B6572F"/>
    <w:rsid w:val="32E85044"/>
    <w:rsid w:val="33073AC3"/>
    <w:rsid w:val="33292C1B"/>
    <w:rsid w:val="332B6F38"/>
    <w:rsid w:val="33536ADA"/>
    <w:rsid w:val="33675085"/>
    <w:rsid w:val="33A77204"/>
    <w:rsid w:val="33CC508C"/>
    <w:rsid w:val="33D9634E"/>
    <w:rsid w:val="34257196"/>
    <w:rsid w:val="34293645"/>
    <w:rsid w:val="34743454"/>
    <w:rsid w:val="34757E10"/>
    <w:rsid w:val="34801A35"/>
    <w:rsid w:val="34A1798B"/>
    <w:rsid w:val="34BF3ADB"/>
    <w:rsid w:val="34C6280F"/>
    <w:rsid w:val="34D43A2F"/>
    <w:rsid w:val="34E3562D"/>
    <w:rsid w:val="34E94BC5"/>
    <w:rsid w:val="3503123D"/>
    <w:rsid w:val="350C5EB2"/>
    <w:rsid w:val="351E5E64"/>
    <w:rsid w:val="353F036E"/>
    <w:rsid w:val="35491CE2"/>
    <w:rsid w:val="355F4577"/>
    <w:rsid w:val="356E1C04"/>
    <w:rsid w:val="35A94589"/>
    <w:rsid w:val="35C46184"/>
    <w:rsid w:val="3601599D"/>
    <w:rsid w:val="360C2556"/>
    <w:rsid w:val="36241472"/>
    <w:rsid w:val="36617AF8"/>
    <w:rsid w:val="366C7495"/>
    <w:rsid w:val="36C85B26"/>
    <w:rsid w:val="36D04C53"/>
    <w:rsid w:val="36D660CB"/>
    <w:rsid w:val="36DF4A1B"/>
    <w:rsid w:val="36F144CC"/>
    <w:rsid w:val="37195DB9"/>
    <w:rsid w:val="375F6EFD"/>
    <w:rsid w:val="377B79E7"/>
    <w:rsid w:val="377E5A5C"/>
    <w:rsid w:val="37C82110"/>
    <w:rsid w:val="381F4724"/>
    <w:rsid w:val="38204594"/>
    <w:rsid w:val="384D73F5"/>
    <w:rsid w:val="386D4174"/>
    <w:rsid w:val="38795F87"/>
    <w:rsid w:val="38A867C4"/>
    <w:rsid w:val="39135739"/>
    <w:rsid w:val="391809B2"/>
    <w:rsid w:val="391E6DF8"/>
    <w:rsid w:val="393E5D1C"/>
    <w:rsid w:val="394B6B79"/>
    <w:rsid w:val="39691AEB"/>
    <w:rsid w:val="396D6505"/>
    <w:rsid w:val="39753155"/>
    <w:rsid w:val="398307FD"/>
    <w:rsid w:val="39907AAC"/>
    <w:rsid w:val="39A37EB6"/>
    <w:rsid w:val="39C90006"/>
    <w:rsid w:val="3A0F502D"/>
    <w:rsid w:val="3A1520AD"/>
    <w:rsid w:val="3A3304AA"/>
    <w:rsid w:val="3A3753CE"/>
    <w:rsid w:val="3A446DA1"/>
    <w:rsid w:val="3A83019C"/>
    <w:rsid w:val="3A9F29F4"/>
    <w:rsid w:val="3B0A2731"/>
    <w:rsid w:val="3B2A61EE"/>
    <w:rsid w:val="3B3F19E6"/>
    <w:rsid w:val="3B6349B3"/>
    <w:rsid w:val="3B684717"/>
    <w:rsid w:val="3B8D590D"/>
    <w:rsid w:val="3BA74E0E"/>
    <w:rsid w:val="3C7562BD"/>
    <w:rsid w:val="3D0D24B8"/>
    <w:rsid w:val="3D11266F"/>
    <w:rsid w:val="3D136A16"/>
    <w:rsid w:val="3D2C588C"/>
    <w:rsid w:val="3D5003FE"/>
    <w:rsid w:val="3D56348B"/>
    <w:rsid w:val="3D7B50C8"/>
    <w:rsid w:val="3DBF2006"/>
    <w:rsid w:val="3DC3308C"/>
    <w:rsid w:val="3DD4459B"/>
    <w:rsid w:val="3E081F45"/>
    <w:rsid w:val="3E0F1B8D"/>
    <w:rsid w:val="3E1174EB"/>
    <w:rsid w:val="3E1575FC"/>
    <w:rsid w:val="3E600EEA"/>
    <w:rsid w:val="3E8227B1"/>
    <w:rsid w:val="3ED03E60"/>
    <w:rsid w:val="3EFD03E1"/>
    <w:rsid w:val="3F0547C8"/>
    <w:rsid w:val="3F5C3CFE"/>
    <w:rsid w:val="40252361"/>
    <w:rsid w:val="403806FB"/>
    <w:rsid w:val="408F7BE9"/>
    <w:rsid w:val="40A54AB0"/>
    <w:rsid w:val="40E242A4"/>
    <w:rsid w:val="40F95367"/>
    <w:rsid w:val="41283344"/>
    <w:rsid w:val="412958F0"/>
    <w:rsid w:val="4131626E"/>
    <w:rsid w:val="413E3BE9"/>
    <w:rsid w:val="41441D80"/>
    <w:rsid w:val="415418A0"/>
    <w:rsid w:val="415F1CA3"/>
    <w:rsid w:val="415F22D9"/>
    <w:rsid w:val="41767D68"/>
    <w:rsid w:val="417809AD"/>
    <w:rsid w:val="41781113"/>
    <w:rsid w:val="418F00ED"/>
    <w:rsid w:val="41B32D24"/>
    <w:rsid w:val="41C23A1B"/>
    <w:rsid w:val="41DA317B"/>
    <w:rsid w:val="4205353D"/>
    <w:rsid w:val="420B1256"/>
    <w:rsid w:val="42163FD8"/>
    <w:rsid w:val="421B261C"/>
    <w:rsid w:val="422043FE"/>
    <w:rsid w:val="42232391"/>
    <w:rsid w:val="424B00CF"/>
    <w:rsid w:val="426564D2"/>
    <w:rsid w:val="4266190C"/>
    <w:rsid w:val="428B4A28"/>
    <w:rsid w:val="42C57B2B"/>
    <w:rsid w:val="42CB44F9"/>
    <w:rsid w:val="42D13CE2"/>
    <w:rsid w:val="42E52AC3"/>
    <w:rsid w:val="430F7784"/>
    <w:rsid w:val="4336626D"/>
    <w:rsid w:val="433F700B"/>
    <w:rsid w:val="434332BA"/>
    <w:rsid w:val="435026FB"/>
    <w:rsid w:val="4377227D"/>
    <w:rsid w:val="437D31DB"/>
    <w:rsid w:val="438B6421"/>
    <w:rsid w:val="43A53CD0"/>
    <w:rsid w:val="43E9301B"/>
    <w:rsid w:val="43FA1D03"/>
    <w:rsid w:val="440A24DB"/>
    <w:rsid w:val="44441B3A"/>
    <w:rsid w:val="44474BF7"/>
    <w:rsid w:val="446823E9"/>
    <w:rsid w:val="4474548A"/>
    <w:rsid w:val="447471F9"/>
    <w:rsid w:val="449640ED"/>
    <w:rsid w:val="44BB7070"/>
    <w:rsid w:val="450B0C2A"/>
    <w:rsid w:val="453E2A26"/>
    <w:rsid w:val="454B42E2"/>
    <w:rsid w:val="455F61C3"/>
    <w:rsid w:val="45607C7F"/>
    <w:rsid w:val="456127CB"/>
    <w:rsid w:val="45EF749E"/>
    <w:rsid w:val="46260860"/>
    <w:rsid w:val="462C5FEC"/>
    <w:rsid w:val="4669139F"/>
    <w:rsid w:val="46703085"/>
    <w:rsid w:val="46874842"/>
    <w:rsid w:val="469357CE"/>
    <w:rsid w:val="46BD1376"/>
    <w:rsid w:val="46C17974"/>
    <w:rsid w:val="46E40E1C"/>
    <w:rsid w:val="46FD6335"/>
    <w:rsid w:val="478B1873"/>
    <w:rsid w:val="478F7DF9"/>
    <w:rsid w:val="47BE348C"/>
    <w:rsid w:val="47CC2983"/>
    <w:rsid w:val="47FC5F3B"/>
    <w:rsid w:val="48787A87"/>
    <w:rsid w:val="488A7C8E"/>
    <w:rsid w:val="488D5D3C"/>
    <w:rsid w:val="48D97B58"/>
    <w:rsid w:val="48FF663E"/>
    <w:rsid w:val="490304DF"/>
    <w:rsid w:val="49055532"/>
    <w:rsid w:val="490A2024"/>
    <w:rsid w:val="493267A8"/>
    <w:rsid w:val="493B230D"/>
    <w:rsid w:val="49680FEE"/>
    <w:rsid w:val="49790F2B"/>
    <w:rsid w:val="497E6D80"/>
    <w:rsid w:val="49AF0D44"/>
    <w:rsid w:val="49DB62C6"/>
    <w:rsid w:val="49FD450A"/>
    <w:rsid w:val="4A456D39"/>
    <w:rsid w:val="4A712F7B"/>
    <w:rsid w:val="4A8052EA"/>
    <w:rsid w:val="4A897EB9"/>
    <w:rsid w:val="4A951138"/>
    <w:rsid w:val="4AA310AB"/>
    <w:rsid w:val="4ACB31A4"/>
    <w:rsid w:val="4ADC5319"/>
    <w:rsid w:val="4AED40D2"/>
    <w:rsid w:val="4AF126EA"/>
    <w:rsid w:val="4AFF4E62"/>
    <w:rsid w:val="4B470987"/>
    <w:rsid w:val="4B541187"/>
    <w:rsid w:val="4B5C5634"/>
    <w:rsid w:val="4B6D10A7"/>
    <w:rsid w:val="4B7618A9"/>
    <w:rsid w:val="4B813A57"/>
    <w:rsid w:val="4B9B6ED4"/>
    <w:rsid w:val="4B9E0558"/>
    <w:rsid w:val="4BA7151A"/>
    <w:rsid w:val="4BBF65BA"/>
    <w:rsid w:val="4BCC0A1A"/>
    <w:rsid w:val="4BD227F5"/>
    <w:rsid w:val="4BD90E6B"/>
    <w:rsid w:val="4BFE0A8E"/>
    <w:rsid w:val="4C0E0FCC"/>
    <w:rsid w:val="4C3972B3"/>
    <w:rsid w:val="4C852E60"/>
    <w:rsid w:val="4CE65EAE"/>
    <w:rsid w:val="4CF9171F"/>
    <w:rsid w:val="4D8E2A8B"/>
    <w:rsid w:val="4E101F09"/>
    <w:rsid w:val="4E2E64C4"/>
    <w:rsid w:val="4E2F0BB5"/>
    <w:rsid w:val="4E6A6D89"/>
    <w:rsid w:val="4E6B582B"/>
    <w:rsid w:val="4E7754F5"/>
    <w:rsid w:val="4E8D0EF4"/>
    <w:rsid w:val="4E8F6EB0"/>
    <w:rsid w:val="4E9D4D5C"/>
    <w:rsid w:val="4EC01F3B"/>
    <w:rsid w:val="4EC62584"/>
    <w:rsid w:val="4ED07AEA"/>
    <w:rsid w:val="4EE22A8E"/>
    <w:rsid w:val="4EEA3167"/>
    <w:rsid w:val="4F2D63CF"/>
    <w:rsid w:val="4F5132E8"/>
    <w:rsid w:val="4F545795"/>
    <w:rsid w:val="4F752A94"/>
    <w:rsid w:val="4F806DF9"/>
    <w:rsid w:val="4F820BE5"/>
    <w:rsid w:val="4F932BC0"/>
    <w:rsid w:val="4FA65500"/>
    <w:rsid w:val="4FB70577"/>
    <w:rsid w:val="4FC86A0D"/>
    <w:rsid w:val="50377F53"/>
    <w:rsid w:val="5071702E"/>
    <w:rsid w:val="5073611E"/>
    <w:rsid w:val="507A46C0"/>
    <w:rsid w:val="508844FD"/>
    <w:rsid w:val="509632A3"/>
    <w:rsid w:val="50A10BB7"/>
    <w:rsid w:val="50E30108"/>
    <w:rsid w:val="511167FA"/>
    <w:rsid w:val="51954873"/>
    <w:rsid w:val="51C65A3F"/>
    <w:rsid w:val="51D64B7F"/>
    <w:rsid w:val="51F120B4"/>
    <w:rsid w:val="51FF57F8"/>
    <w:rsid w:val="52023C98"/>
    <w:rsid w:val="522E2C98"/>
    <w:rsid w:val="5231029C"/>
    <w:rsid w:val="524F733F"/>
    <w:rsid w:val="52A81CF9"/>
    <w:rsid w:val="52B3037B"/>
    <w:rsid w:val="52CE1C16"/>
    <w:rsid w:val="52EC647F"/>
    <w:rsid w:val="52F63EB4"/>
    <w:rsid w:val="52F81B12"/>
    <w:rsid w:val="537D7B44"/>
    <w:rsid w:val="538D06C9"/>
    <w:rsid w:val="53AE5515"/>
    <w:rsid w:val="53B72BCB"/>
    <w:rsid w:val="53B82E3B"/>
    <w:rsid w:val="53D65177"/>
    <w:rsid w:val="53E71174"/>
    <w:rsid w:val="53FE4C00"/>
    <w:rsid w:val="54165510"/>
    <w:rsid w:val="5425588F"/>
    <w:rsid w:val="543958FD"/>
    <w:rsid w:val="546A7902"/>
    <w:rsid w:val="547C301F"/>
    <w:rsid w:val="547E1D20"/>
    <w:rsid w:val="549C5E08"/>
    <w:rsid w:val="54D700BD"/>
    <w:rsid w:val="54DF2167"/>
    <w:rsid w:val="54F751FF"/>
    <w:rsid w:val="550917C5"/>
    <w:rsid w:val="551201C2"/>
    <w:rsid w:val="551A2D47"/>
    <w:rsid w:val="55455F2E"/>
    <w:rsid w:val="555417A1"/>
    <w:rsid w:val="556B1F3B"/>
    <w:rsid w:val="55793256"/>
    <w:rsid w:val="562F5C72"/>
    <w:rsid w:val="563D1E2F"/>
    <w:rsid w:val="56403824"/>
    <w:rsid w:val="56563C96"/>
    <w:rsid w:val="565D7A10"/>
    <w:rsid w:val="565E2001"/>
    <w:rsid w:val="56606E5E"/>
    <w:rsid w:val="569B7E68"/>
    <w:rsid w:val="56A4180F"/>
    <w:rsid w:val="56D71BFE"/>
    <w:rsid w:val="56E24FFD"/>
    <w:rsid w:val="56FC146C"/>
    <w:rsid w:val="572509D0"/>
    <w:rsid w:val="5728257C"/>
    <w:rsid w:val="57296884"/>
    <w:rsid w:val="57314E61"/>
    <w:rsid w:val="578C1655"/>
    <w:rsid w:val="57A53523"/>
    <w:rsid w:val="57B419C5"/>
    <w:rsid w:val="57D77871"/>
    <w:rsid w:val="57DA35CF"/>
    <w:rsid w:val="57F4473E"/>
    <w:rsid w:val="58011F05"/>
    <w:rsid w:val="580744A0"/>
    <w:rsid w:val="581D1794"/>
    <w:rsid w:val="582969A3"/>
    <w:rsid w:val="587E3ECA"/>
    <w:rsid w:val="58CF2C0B"/>
    <w:rsid w:val="58D0727B"/>
    <w:rsid w:val="58ED5445"/>
    <w:rsid w:val="590F47E9"/>
    <w:rsid w:val="5910472A"/>
    <w:rsid w:val="59240255"/>
    <w:rsid w:val="593C66D3"/>
    <w:rsid w:val="594F105A"/>
    <w:rsid w:val="597100A0"/>
    <w:rsid w:val="598A652B"/>
    <w:rsid w:val="5A3E00F6"/>
    <w:rsid w:val="5A674ACB"/>
    <w:rsid w:val="5A8D0101"/>
    <w:rsid w:val="5A906833"/>
    <w:rsid w:val="5A9C7662"/>
    <w:rsid w:val="5AAB4460"/>
    <w:rsid w:val="5AD3461D"/>
    <w:rsid w:val="5AF5255D"/>
    <w:rsid w:val="5AFA7B90"/>
    <w:rsid w:val="5B115FDA"/>
    <w:rsid w:val="5B47159C"/>
    <w:rsid w:val="5B732F3A"/>
    <w:rsid w:val="5B754949"/>
    <w:rsid w:val="5B881DBB"/>
    <w:rsid w:val="5C0D79E0"/>
    <w:rsid w:val="5C2A0D26"/>
    <w:rsid w:val="5C2A6DA9"/>
    <w:rsid w:val="5C9215FD"/>
    <w:rsid w:val="5CB15350"/>
    <w:rsid w:val="5CBF2D42"/>
    <w:rsid w:val="5CC47037"/>
    <w:rsid w:val="5CD221AD"/>
    <w:rsid w:val="5CE03063"/>
    <w:rsid w:val="5D894968"/>
    <w:rsid w:val="5D8B5D2E"/>
    <w:rsid w:val="5DAB67F7"/>
    <w:rsid w:val="5DD255A0"/>
    <w:rsid w:val="5DEA037E"/>
    <w:rsid w:val="5DEF751F"/>
    <w:rsid w:val="5E4E5084"/>
    <w:rsid w:val="5E6B6FAB"/>
    <w:rsid w:val="5E6D4DC5"/>
    <w:rsid w:val="5E9B05B8"/>
    <w:rsid w:val="5E9C3FBF"/>
    <w:rsid w:val="5ED62129"/>
    <w:rsid w:val="5EFC682C"/>
    <w:rsid w:val="5F062457"/>
    <w:rsid w:val="5F592307"/>
    <w:rsid w:val="5F93194C"/>
    <w:rsid w:val="5FA63FCE"/>
    <w:rsid w:val="5FAA3DC6"/>
    <w:rsid w:val="5FBD5F95"/>
    <w:rsid w:val="5FE24514"/>
    <w:rsid w:val="60113815"/>
    <w:rsid w:val="60204357"/>
    <w:rsid w:val="603F078E"/>
    <w:rsid w:val="60442F69"/>
    <w:rsid w:val="60812AD7"/>
    <w:rsid w:val="60890B82"/>
    <w:rsid w:val="608C2825"/>
    <w:rsid w:val="60A96567"/>
    <w:rsid w:val="60C1254E"/>
    <w:rsid w:val="60CA48DB"/>
    <w:rsid w:val="60E04EF3"/>
    <w:rsid w:val="6106368E"/>
    <w:rsid w:val="612A76B1"/>
    <w:rsid w:val="612E1B21"/>
    <w:rsid w:val="614A470D"/>
    <w:rsid w:val="618F036B"/>
    <w:rsid w:val="61CF6B35"/>
    <w:rsid w:val="61DD086C"/>
    <w:rsid w:val="620F0813"/>
    <w:rsid w:val="621073B2"/>
    <w:rsid w:val="62235FFE"/>
    <w:rsid w:val="625253AF"/>
    <w:rsid w:val="62591D4E"/>
    <w:rsid w:val="62726749"/>
    <w:rsid w:val="627523C2"/>
    <w:rsid w:val="630F7FAC"/>
    <w:rsid w:val="631C7B86"/>
    <w:rsid w:val="63363081"/>
    <w:rsid w:val="6348539B"/>
    <w:rsid w:val="63657AEE"/>
    <w:rsid w:val="638228CE"/>
    <w:rsid w:val="63A82C75"/>
    <w:rsid w:val="63AC1574"/>
    <w:rsid w:val="63B22EA9"/>
    <w:rsid w:val="64030869"/>
    <w:rsid w:val="643F1880"/>
    <w:rsid w:val="64653C66"/>
    <w:rsid w:val="646B3E19"/>
    <w:rsid w:val="64A236B1"/>
    <w:rsid w:val="64A646F3"/>
    <w:rsid w:val="6500422E"/>
    <w:rsid w:val="650E3AB5"/>
    <w:rsid w:val="6536267B"/>
    <w:rsid w:val="65392F75"/>
    <w:rsid w:val="654D5DA7"/>
    <w:rsid w:val="6570329B"/>
    <w:rsid w:val="65ED7C29"/>
    <w:rsid w:val="661A13D3"/>
    <w:rsid w:val="66423C4D"/>
    <w:rsid w:val="66472D88"/>
    <w:rsid w:val="664849A0"/>
    <w:rsid w:val="66670930"/>
    <w:rsid w:val="66712D88"/>
    <w:rsid w:val="667D5922"/>
    <w:rsid w:val="66AC7226"/>
    <w:rsid w:val="66C32BB3"/>
    <w:rsid w:val="66D950DB"/>
    <w:rsid w:val="66DF3A90"/>
    <w:rsid w:val="670B6845"/>
    <w:rsid w:val="67264A81"/>
    <w:rsid w:val="6742656A"/>
    <w:rsid w:val="674A54B3"/>
    <w:rsid w:val="675271F7"/>
    <w:rsid w:val="675B31DA"/>
    <w:rsid w:val="67826901"/>
    <w:rsid w:val="679B6DEE"/>
    <w:rsid w:val="67A36101"/>
    <w:rsid w:val="682062E8"/>
    <w:rsid w:val="68214FE7"/>
    <w:rsid w:val="682818D7"/>
    <w:rsid w:val="683E4BF5"/>
    <w:rsid w:val="687D3E06"/>
    <w:rsid w:val="68852E1C"/>
    <w:rsid w:val="689E5D80"/>
    <w:rsid w:val="69600980"/>
    <w:rsid w:val="69707BB8"/>
    <w:rsid w:val="69830C45"/>
    <w:rsid w:val="6997702B"/>
    <w:rsid w:val="69980A51"/>
    <w:rsid w:val="69C24755"/>
    <w:rsid w:val="69CC5FF9"/>
    <w:rsid w:val="69CD3A1A"/>
    <w:rsid w:val="69D52470"/>
    <w:rsid w:val="69E75D0B"/>
    <w:rsid w:val="69FF3C9E"/>
    <w:rsid w:val="6A254E7E"/>
    <w:rsid w:val="6A4F4FF7"/>
    <w:rsid w:val="6A8B2B4B"/>
    <w:rsid w:val="6A940DB2"/>
    <w:rsid w:val="6AA43001"/>
    <w:rsid w:val="6AB6429D"/>
    <w:rsid w:val="6AC05D2A"/>
    <w:rsid w:val="6AC2337D"/>
    <w:rsid w:val="6ADD14BE"/>
    <w:rsid w:val="6AE05DD0"/>
    <w:rsid w:val="6AE84A89"/>
    <w:rsid w:val="6AF0232F"/>
    <w:rsid w:val="6B176735"/>
    <w:rsid w:val="6B231F18"/>
    <w:rsid w:val="6B425032"/>
    <w:rsid w:val="6B984B07"/>
    <w:rsid w:val="6BA8467F"/>
    <w:rsid w:val="6BAC33A7"/>
    <w:rsid w:val="6BC8762F"/>
    <w:rsid w:val="6C0F60EB"/>
    <w:rsid w:val="6C220E71"/>
    <w:rsid w:val="6C6677AE"/>
    <w:rsid w:val="6C686F9E"/>
    <w:rsid w:val="6C8E3052"/>
    <w:rsid w:val="6CD6696A"/>
    <w:rsid w:val="6CDC5419"/>
    <w:rsid w:val="6CEC2ECB"/>
    <w:rsid w:val="6CF922E8"/>
    <w:rsid w:val="6D2178CF"/>
    <w:rsid w:val="6D3D4A03"/>
    <w:rsid w:val="6D4479A1"/>
    <w:rsid w:val="6D4C2938"/>
    <w:rsid w:val="6D4E5909"/>
    <w:rsid w:val="6D83095D"/>
    <w:rsid w:val="6D965DD8"/>
    <w:rsid w:val="6DAC3E8A"/>
    <w:rsid w:val="6DB125C3"/>
    <w:rsid w:val="6DB56522"/>
    <w:rsid w:val="6DB84ACD"/>
    <w:rsid w:val="6DB84C5A"/>
    <w:rsid w:val="6DE56920"/>
    <w:rsid w:val="6DFB2975"/>
    <w:rsid w:val="6DFF7532"/>
    <w:rsid w:val="6E065665"/>
    <w:rsid w:val="6E185BAE"/>
    <w:rsid w:val="6E657042"/>
    <w:rsid w:val="6E7D31A7"/>
    <w:rsid w:val="6E99550A"/>
    <w:rsid w:val="6EDA3F0A"/>
    <w:rsid w:val="6EEE6F99"/>
    <w:rsid w:val="6EF52BFE"/>
    <w:rsid w:val="6EFD42A1"/>
    <w:rsid w:val="6F197910"/>
    <w:rsid w:val="6F24542C"/>
    <w:rsid w:val="6F2C56EB"/>
    <w:rsid w:val="6F363954"/>
    <w:rsid w:val="6F6A3BC6"/>
    <w:rsid w:val="6F723239"/>
    <w:rsid w:val="6F8827D4"/>
    <w:rsid w:val="6F9848FD"/>
    <w:rsid w:val="6FAA6473"/>
    <w:rsid w:val="6FBB7239"/>
    <w:rsid w:val="6FE45A0F"/>
    <w:rsid w:val="701366A8"/>
    <w:rsid w:val="701F19C7"/>
    <w:rsid w:val="702A23CE"/>
    <w:rsid w:val="703140FC"/>
    <w:rsid w:val="704843EC"/>
    <w:rsid w:val="712C165B"/>
    <w:rsid w:val="716D13AB"/>
    <w:rsid w:val="71847F9E"/>
    <w:rsid w:val="719234BA"/>
    <w:rsid w:val="71A86C93"/>
    <w:rsid w:val="71EC68E7"/>
    <w:rsid w:val="71FA793B"/>
    <w:rsid w:val="72177478"/>
    <w:rsid w:val="7223505B"/>
    <w:rsid w:val="72363AB6"/>
    <w:rsid w:val="7241147C"/>
    <w:rsid w:val="72451EB2"/>
    <w:rsid w:val="7257143C"/>
    <w:rsid w:val="72581C7F"/>
    <w:rsid w:val="72606B73"/>
    <w:rsid w:val="726D06D9"/>
    <w:rsid w:val="72A43471"/>
    <w:rsid w:val="72B611FA"/>
    <w:rsid w:val="735E784C"/>
    <w:rsid w:val="73644E0A"/>
    <w:rsid w:val="737D1D83"/>
    <w:rsid w:val="737D52D9"/>
    <w:rsid w:val="738F5E6C"/>
    <w:rsid w:val="73F16B3C"/>
    <w:rsid w:val="74044B50"/>
    <w:rsid w:val="742F6106"/>
    <w:rsid w:val="744B4B94"/>
    <w:rsid w:val="7465191F"/>
    <w:rsid w:val="74794AA3"/>
    <w:rsid w:val="74B0580F"/>
    <w:rsid w:val="74D94537"/>
    <w:rsid w:val="753354F9"/>
    <w:rsid w:val="755460EB"/>
    <w:rsid w:val="75CE4524"/>
    <w:rsid w:val="75D06792"/>
    <w:rsid w:val="76012E52"/>
    <w:rsid w:val="762B0BC9"/>
    <w:rsid w:val="7633403A"/>
    <w:rsid w:val="76371BC7"/>
    <w:rsid w:val="765908D3"/>
    <w:rsid w:val="76844CDB"/>
    <w:rsid w:val="76A407DF"/>
    <w:rsid w:val="76B42985"/>
    <w:rsid w:val="77901841"/>
    <w:rsid w:val="77D43708"/>
    <w:rsid w:val="77D9168F"/>
    <w:rsid w:val="77DA5702"/>
    <w:rsid w:val="784975D7"/>
    <w:rsid w:val="787B07F9"/>
    <w:rsid w:val="788076A8"/>
    <w:rsid w:val="788778DD"/>
    <w:rsid w:val="78A31A58"/>
    <w:rsid w:val="78FA61B3"/>
    <w:rsid w:val="793813BC"/>
    <w:rsid w:val="793F6D6D"/>
    <w:rsid w:val="794F5E0C"/>
    <w:rsid w:val="79941677"/>
    <w:rsid w:val="79C24E98"/>
    <w:rsid w:val="79F34F9B"/>
    <w:rsid w:val="7A1610AF"/>
    <w:rsid w:val="7A5746D7"/>
    <w:rsid w:val="7A910195"/>
    <w:rsid w:val="7AA1761C"/>
    <w:rsid w:val="7AA30CEB"/>
    <w:rsid w:val="7ABA4D65"/>
    <w:rsid w:val="7ADC6C3C"/>
    <w:rsid w:val="7B0129ED"/>
    <w:rsid w:val="7B11339A"/>
    <w:rsid w:val="7B19341C"/>
    <w:rsid w:val="7B271DF8"/>
    <w:rsid w:val="7B50660A"/>
    <w:rsid w:val="7B5512E7"/>
    <w:rsid w:val="7B645DEA"/>
    <w:rsid w:val="7B6A18D0"/>
    <w:rsid w:val="7B6F44D4"/>
    <w:rsid w:val="7B98255D"/>
    <w:rsid w:val="7B9C1FCE"/>
    <w:rsid w:val="7BC77859"/>
    <w:rsid w:val="7C273DBB"/>
    <w:rsid w:val="7C370B7C"/>
    <w:rsid w:val="7C47322E"/>
    <w:rsid w:val="7C5413CB"/>
    <w:rsid w:val="7C73167B"/>
    <w:rsid w:val="7C934937"/>
    <w:rsid w:val="7C941469"/>
    <w:rsid w:val="7CB70A0B"/>
    <w:rsid w:val="7CCA6A86"/>
    <w:rsid w:val="7CCF54FA"/>
    <w:rsid w:val="7CD3076E"/>
    <w:rsid w:val="7CDD742C"/>
    <w:rsid w:val="7D2E363F"/>
    <w:rsid w:val="7D3F26F0"/>
    <w:rsid w:val="7D5709E4"/>
    <w:rsid w:val="7D686752"/>
    <w:rsid w:val="7D8D3D37"/>
    <w:rsid w:val="7DB03F5E"/>
    <w:rsid w:val="7DE46E5E"/>
    <w:rsid w:val="7E275A02"/>
    <w:rsid w:val="7E2860C6"/>
    <w:rsid w:val="7E806807"/>
    <w:rsid w:val="7E9A34DB"/>
    <w:rsid w:val="7EAC2AA7"/>
    <w:rsid w:val="7ECA716A"/>
    <w:rsid w:val="7ED81FA8"/>
    <w:rsid w:val="7EEE0056"/>
    <w:rsid w:val="7F2117C8"/>
    <w:rsid w:val="7F843A0F"/>
    <w:rsid w:val="7FE0148F"/>
    <w:rsid w:val="7FFC460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2">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17"/>
    <w:unhideWhenUsed/>
    <w:qFormat/>
    <w:uiPriority w:val="99"/>
    <w:pPr>
      <w:jc w:val="left"/>
    </w:pPr>
  </w:style>
  <w:style w:type="paragraph" w:styleId="5">
    <w:name w:val="Plain Text"/>
    <w:basedOn w:val="1"/>
    <w:link w:val="28"/>
    <w:qFormat/>
    <w:uiPriority w:val="0"/>
    <w:rPr>
      <w:rFonts w:ascii="宋体" w:hAnsi="Courier New" w:eastAsia="宋体" w:cs="Courier New"/>
      <w:szCs w:val="21"/>
    </w:rPr>
  </w:style>
  <w:style w:type="paragraph" w:styleId="6">
    <w:name w:val="Balloon Text"/>
    <w:basedOn w:val="1"/>
    <w:link w:val="19"/>
    <w:unhideWhenUsed/>
    <w:qFormat/>
    <w:uiPriority w:val="99"/>
    <w:rPr>
      <w:sz w:val="18"/>
      <w:szCs w:val="18"/>
    </w:r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0">
    <w:name w:val="annotation subject"/>
    <w:basedOn w:val="4"/>
    <w:next w:val="4"/>
    <w:link w:val="18"/>
    <w:unhideWhenUsed/>
    <w:qFormat/>
    <w:uiPriority w:val="99"/>
    <w:rPr>
      <w:b/>
      <w:bCs/>
    </w:rPr>
  </w:style>
  <w:style w:type="character" w:styleId="13">
    <w:name w:val="Strong"/>
    <w:basedOn w:val="12"/>
    <w:qFormat/>
    <w:uiPriority w:val="22"/>
    <w:rPr>
      <w:b/>
      <w:bCs/>
    </w:rPr>
  </w:style>
  <w:style w:type="character" w:styleId="14">
    <w:name w:val="annotation reference"/>
    <w:basedOn w:val="12"/>
    <w:unhideWhenUsed/>
    <w:qFormat/>
    <w:uiPriority w:val="99"/>
    <w:rPr>
      <w:sz w:val="21"/>
      <w:szCs w:val="21"/>
    </w:rPr>
  </w:style>
  <w:style w:type="character" w:customStyle="1" w:styleId="15">
    <w:name w:val="页眉 Char"/>
    <w:basedOn w:val="12"/>
    <w:link w:val="8"/>
    <w:qFormat/>
    <w:uiPriority w:val="99"/>
    <w:rPr>
      <w:sz w:val="18"/>
      <w:szCs w:val="18"/>
    </w:rPr>
  </w:style>
  <w:style w:type="character" w:customStyle="1" w:styleId="16">
    <w:name w:val="页脚 Char"/>
    <w:basedOn w:val="12"/>
    <w:link w:val="7"/>
    <w:qFormat/>
    <w:uiPriority w:val="99"/>
    <w:rPr>
      <w:sz w:val="18"/>
      <w:szCs w:val="18"/>
    </w:rPr>
  </w:style>
  <w:style w:type="character" w:customStyle="1" w:styleId="17">
    <w:name w:val="批注文字 Char"/>
    <w:basedOn w:val="12"/>
    <w:link w:val="4"/>
    <w:semiHidden/>
    <w:qFormat/>
    <w:uiPriority w:val="99"/>
  </w:style>
  <w:style w:type="character" w:customStyle="1" w:styleId="18">
    <w:name w:val="批注主题 Char"/>
    <w:basedOn w:val="17"/>
    <w:link w:val="10"/>
    <w:semiHidden/>
    <w:qFormat/>
    <w:uiPriority w:val="99"/>
    <w:rPr>
      <w:b/>
      <w:bCs/>
    </w:rPr>
  </w:style>
  <w:style w:type="character" w:customStyle="1" w:styleId="19">
    <w:name w:val="批注框文本 Char"/>
    <w:basedOn w:val="12"/>
    <w:link w:val="6"/>
    <w:semiHidden/>
    <w:qFormat/>
    <w:uiPriority w:val="99"/>
    <w:rPr>
      <w:sz w:val="18"/>
      <w:szCs w:val="18"/>
    </w:rPr>
  </w:style>
  <w:style w:type="paragraph" w:customStyle="1" w:styleId="20">
    <w:name w:val="段"/>
    <w:link w:val="21"/>
    <w:qFormat/>
    <w:uiPriority w:val="0"/>
    <w:pPr>
      <w:autoSpaceDE w:val="0"/>
      <w:autoSpaceDN w:val="0"/>
      <w:ind w:firstLine="200" w:firstLineChars="200"/>
      <w:jc w:val="both"/>
    </w:pPr>
    <w:rPr>
      <w:rFonts w:ascii="宋体" w:hAnsi="Calibri" w:eastAsia="宋体" w:cs="Times New Roman"/>
      <w:sz w:val="21"/>
      <w:szCs w:val="22"/>
      <w:lang w:val="en-US" w:eastAsia="zh-CN" w:bidi="ar-SA"/>
    </w:rPr>
  </w:style>
  <w:style w:type="character" w:customStyle="1" w:styleId="21">
    <w:name w:val="段 Char"/>
    <w:link w:val="20"/>
    <w:qFormat/>
    <w:uiPriority w:val="0"/>
    <w:rPr>
      <w:rFonts w:ascii="宋体" w:hAnsi="Calibri" w:eastAsia="宋体" w:cs="Times New Roman"/>
      <w:kern w:val="0"/>
    </w:rPr>
  </w:style>
  <w:style w:type="character" w:customStyle="1" w:styleId="22">
    <w:name w:val="一级条标题 Char"/>
    <w:link w:val="23"/>
    <w:qFormat/>
    <w:uiPriority w:val="0"/>
    <w:rPr>
      <w:rFonts w:eastAsia="黑体"/>
    </w:rPr>
  </w:style>
  <w:style w:type="paragraph" w:customStyle="1" w:styleId="23">
    <w:name w:val="一级条标题"/>
    <w:next w:val="20"/>
    <w:link w:val="22"/>
    <w:qFormat/>
    <w:uiPriority w:val="0"/>
    <w:pPr>
      <w:tabs>
        <w:tab w:val="left" w:pos="360"/>
      </w:tabs>
      <w:outlineLvl w:val="2"/>
    </w:pPr>
    <w:rPr>
      <w:rFonts w:eastAsia="黑体" w:asciiTheme="minorHAnsi" w:hAnsiTheme="minorHAnsi" w:cstheme="minorBidi"/>
      <w:kern w:val="2"/>
      <w:sz w:val="21"/>
      <w:szCs w:val="22"/>
      <w:lang w:val="en-US" w:eastAsia="zh-CN" w:bidi="ar-SA"/>
    </w:rPr>
  </w:style>
  <w:style w:type="character" w:customStyle="1" w:styleId="24">
    <w:name w:val="标题 1 Char"/>
    <w:basedOn w:val="12"/>
    <w:link w:val="2"/>
    <w:qFormat/>
    <w:uiPriority w:val="9"/>
    <w:rPr>
      <w:rFonts w:ascii="宋体" w:hAnsi="宋体" w:eastAsia="宋体" w:cs="宋体"/>
      <w:b/>
      <w:bCs/>
      <w:kern w:val="36"/>
      <w:sz w:val="48"/>
      <w:szCs w:val="48"/>
    </w:rPr>
  </w:style>
  <w:style w:type="paragraph" w:customStyle="1" w:styleId="25">
    <w:name w:val="附录标识"/>
    <w:basedOn w:val="1"/>
    <w:qFormat/>
    <w:uiPriority w:val="0"/>
    <w:pPr>
      <w:widowControl/>
      <w:shd w:val="clear" w:color="FFFFFF" w:fill="FFFFFF"/>
      <w:tabs>
        <w:tab w:val="left" w:pos="720"/>
        <w:tab w:val="left" w:pos="6405"/>
      </w:tabs>
      <w:spacing w:before="640" w:after="200"/>
      <w:ind w:left="720" w:hanging="720"/>
      <w:jc w:val="center"/>
      <w:outlineLvl w:val="0"/>
    </w:pPr>
    <w:rPr>
      <w:rFonts w:ascii="黑体" w:hAnsi="Times New Roman" w:eastAsia="黑体" w:cs="Times New Roman"/>
      <w:kern w:val="0"/>
      <w:szCs w:val="20"/>
    </w:rPr>
  </w:style>
  <w:style w:type="character" w:customStyle="1" w:styleId="26">
    <w:name w:val="一级条标题 Char Char"/>
    <w:qFormat/>
    <w:uiPriority w:val="0"/>
    <w:rPr>
      <w:rFonts w:eastAsia="黑体"/>
      <w:kern w:val="2"/>
      <w:sz w:val="21"/>
      <w:lang w:val="en-US" w:eastAsia="zh-CN" w:bidi="ar-SA"/>
    </w:rPr>
  </w:style>
  <w:style w:type="paragraph" w:customStyle="1" w:styleId="27">
    <w:name w:val="列出段落1"/>
    <w:basedOn w:val="1"/>
    <w:qFormat/>
    <w:uiPriority w:val="34"/>
    <w:pPr>
      <w:ind w:firstLine="420" w:firstLineChars="200"/>
    </w:pPr>
  </w:style>
  <w:style w:type="character" w:customStyle="1" w:styleId="28">
    <w:name w:val="纯文本 Char"/>
    <w:basedOn w:val="12"/>
    <w:link w:val="5"/>
    <w:qFormat/>
    <w:uiPriority w:val="0"/>
    <w:rPr>
      <w:rFonts w:ascii="宋体" w:hAnsi="Courier New" w:eastAsia="宋体" w:cs="Courier New"/>
      <w:szCs w:val="21"/>
    </w:rPr>
  </w:style>
  <w:style w:type="character" w:customStyle="1" w:styleId="29">
    <w:name w:val="标题 2 Char"/>
    <w:basedOn w:val="12"/>
    <w:link w:val="3"/>
    <w:qFormat/>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C466C6-B312-4F8F-B4C2-3C34621AEB6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3222</Words>
  <Characters>18366</Characters>
  <Lines>153</Lines>
  <Paragraphs>43</Paragraphs>
  <TotalTime>16</TotalTime>
  <ScaleCrop>false</ScaleCrop>
  <LinksUpToDate>false</LinksUpToDate>
  <CharactersWithSpaces>21545</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2019-12-31T07:59:00Z</dcterms:created>
  <dc:creator>Jiangcy</dc:creator>
  <cp:lastModifiedBy>WPS_1580957366</cp:lastModifiedBy>
  <cp:lastPrinted>2019-12-22T02:29:00Z</cp:lastPrinted>
  <dcterms:modified xsi:type="dcterms:W3CDTF">2020-04-30T08:10:26Z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